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5EC8" w14:textId="597DD285" w:rsidR="00206153" w:rsidRPr="00206153" w:rsidRDefault="00AA2BE8" w:rsidP="00AA2BE8">
      <w:pPr>
        <w:tabs>
          <w:tab w:val="left" w:pos="4253"/>
        </w:tabs>
        <w:spacing w:before="2400" w:after="120"/>
        <w:ind w:firstLine="0"/>
        <w:jc w:val="both"/>
        <w:rPr>
          <w:rFonts w:ascii="Book Antiqua" w:eastAsia="Times New Roman" w:hAnsi="Book Antiqua"/>
        </w:rPr>
      </w:pPr>
      <w:r w:rsidRPr="009E39B0">
        <w:rPr>
          <w:noProof/>
        </w:rPr>
        <w:drawing>
          <wp:anchor distT="0" distB="0" distL="114300" distR="114300" simplePos="0" relativeHeight="251660288" behindDoc="0" locked="0" layoutInCell="1" allowOverlap="1" wp14:anchorId="700C937F" wp14:editId="2D835B69">
            <wp:simplePos x="0" y="0"/>
            <wp:positionH relativeFrom="page">
              <wp:posOffset>2653030</wp:posOffset>
            </wp:positionH>
            <wp:positionV relativeFrom="page">
              <wp:posOffset>582930</wp:posOffset>
            </wp:positionV>
            <wp:extent cx="2227580" cy="1190625"/>
            <wp:effectExtent l="0" t="0" r="127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580" cy="1190625"/>
                    </a:xfrm>
                    <a:prstGeom prst="rect">
                      <a:avLst/>
                    </a:prstGeom>
                    <a:noFill/>
                  </pic:spPr>
                </pic:pic>
              </a:graphicData>
            </a:graphic>
            <wp14:sizeRelH relativeFrom="margin">
              <wp14:pctWidth>0</wp14:pctWidth>
            </wp14:sizeRelH>
            <wp14:sizeRelV relativeFrom="margin">
              <wp14:pctHeight>0</wp14:pctHeight>
            </wp14:sizeRelV>
          </wp:anchor>
        </w:drawing>
      </w:r>
      <w:r w:rsidRPr="009E39B0">
        <w:rPr>
          <w:noProof/>
        </w:rPr>
        <w:drawing>
          <wp:anchor distT="0" distB="0" distL="114300" distR="114300" simplePos="0" relativeHeight="251659264" behindDoc="0" locked="0" layoutInCell="1" allowOverlap="1" wp14:anchorId="235690C1" wp14:editId="4AFC0C23">
            <wp:simplePos x="0" y="0"/>
            <wp:positionH relativeFrom="margin">
              <wp:align>center</wp:align>
            </wp:positionH>
            <wp:positionV relativeFrom="paragraph">
              <wp:posOffset>3810</wp:posOffset>
            </wp:positionV>
            <wp:extent cx="605790" cy="619125"/>
            <wp:effectExtent l="0" t="0" r="3810" b="9525"/>
            <wp:wrapSquare wrapText="lef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619125"/>
                    </a:xfrm>
                    <a:prstGeom prst="rect">
                      <a:avLst/>
                    </a:prstGeom>
                    <a:noFill/>
                  </pic:spPr>
                </pic:pic>
              </a:graphicData>
            </a:graphic>
            <wp14:sizeRelH relativeFrom="page">
              <wp14:pctWidth>0</wp14:pctWidth>
            </wp14:sizeRelH>
            <wp14:sizeRelV relativeFrom="page">
              <wp14:pctHeight>0</wp14:pctHeight>
            </wp14:sizeRelV>
          </wp:anchor>
        </w:drawing>
      </w:r>
      <w:r w:rsidRPr="009E39B0">
        <w:rPr>
          <w:noProof/>
        </w:rPr>
        <mc:AlternateContent>
          <mc:Choice Requires="wps">
            <w:drawing>
              <wp:anchor distT="0" distB="0" distL="114300" distR="114300" simplePos="0" relativeHeight="251661312" behindDoc="0" locked="0" layoutInCell="1" allowOverlap="1" wp14:anchorId="426A7441" wp14:editId="08FABDC7">
                <wp:simplePos x="0" y="0"/>
                <wp:positionH relativeFrom="page">
                  <wp:posOffset>-20955</wp:posOffset>
                </wp:positionH>
                <wp:positionV relativeFrom="page">
                  <wp:posOffset>1914525</wp:posOffset>
                </wp:positionV>
                <wp:extent cx="7563485" cy="371475"/>
                <wp:effectExtent l="0" t="0" r="0"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485" cy="371475"/>
                        </a:xfrm>
                        <a:prstGeom prst="rect">
                          <a:avLst/>
                        </a:prstGeom>
                        <a:noFill/>
                        <a:ln>
                          <a:noFill/>
                        </a:ln>
                        <a:extLst/>
                      </wps:spPr>
                      <wps:txbx>
                        <w:txbxContent>
                          <w:p w14:paraId="2063E997" w14:textId="77777777" w:rsidR="00AA2BE8" w:rsidRDefault="00AA2BE8" w:rsidP="00AA2BE8">
                            <w:pPr>
                              <w:pStyle w:val="CdcIntestazionecopertina"/>
                              <w:jc w:val="center"/>
                              <w:rPr>
                                <w:rFonts w:ascii="Book Antiqua" w:hAnsi="Book Antiqua"/>
                                <w:sz w:val="28"/>
                                <w:szCs w:val="28"/>
                              </w:rPr>
                            </w:pPr>
                            <w:bookmarkStart w:id="0" w:name="_Hlk519840537"/>
                            <w:bookmarkStart w:id="1" w:name="_Hlk519840536"/>
                            <w:bookmarkStart w:id="2" w:name="_Hlk519840535"/>
                            <w:r>
                              <w:rPr>
                                <w:rFonts w:ascii="Book Antiqua" w:hAnsi="Book Antiqua"/>
                                <w:sz w:val="28"/>
                                <w:szCs w:val="28"/>
                              </w:rPr>
                              <w:t>Sezione delle autonomie</w:t>
                            </w:r>
                            <w:bookmarkEnd w:id="0"/>
                            <w:bookmarkEnd w:id="1"/>
                            <w:bookmarkEnd w:id="2"/>
                          </w:p>
                        </w:txbxContent>
                      </wps:txbx>
                      <wps:bodyPr rot="0" vert="horz" wrap="square" lIns="720000" tIns="45720" rIns="72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7441" id="_x0000_t202" coordsize="21600,21600" o:spt="202" path="m,l,21600r21600,l21600,xe">
                <v:stroke joinstyle="miter"/>
                <v:path gradientshapeok="t" o:connecttype="rect"/>
              </v:shapetype>
              <v:shape id="Casella di testo 6" o:spid="_x0000_s1026" type="#_x0000_t202" style="position:absolute;left:0;text-align:left;margin-left:-1.65pt;margin-top:150.75pt;width:595.5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" filled="f" stroked="f">
                <v:textbox inset="20mm,,20mm">
                  <w:txbxContent>
                    <w:p w14:paraId="2063E997" w14:textId="77777777" w:rsidR="00AA2BE8" w:rsidRDefault="00AA2BE8" w:rsidP="00AA2BE8">
                      <w:pPr>
                        <w:pStyle w:val="CdcIntestazionecopertina"/>
                        <w:jc w:val="center"/>
                        <w:rPr>
                          <w:rFonts w:ascii="Book Antiqua" w:hAnsi="Book Antiqua"/>
                          <w:sz w:val="28"/>
                          <w:szCs w:val="28"/>
                        </w:rPr>
                      </w:pPr>
                      <w:bookmarkStart w:id="3" w:name="_Hlk519840537"/>
                      <w:bookmarkStart w:id="4" w:name="_Hlk519840536"/>
                      <w:bookmarkStart w:id="5" w:name="_Hlk519840535"/>
                      <w:r>
                        <w:rPr>
                          <w:rFonts w:ascii="Book Antiqua" w:hAnsi="Book Antiqua"/>
                          <w:sz w:val="28"/>
                          <w:szCs w:val="28"/>
                        </w:rPr>
                        <w:t>Sezione delle autonomie</w:t>
                      </w:r>
                      <w:bookmarkEnd w:id="3"/>
                      <w:bookmarkEnd w:id="4"/>
                      <w:bookmarkEnd w:id="5"/>
                    </w:p>
                  </w:txbxContent>
                </v:textbox>
                <w10:wrap anchorx="page" anchory="page"/>
              </v:shape>
            </w:pict>
          </mc:Fallback>
        </mc:AlternateContent>
      </w:r>
      <w:r w:rsidRPr="009E39B0">
        <w:rPr>
          <w:rFonts w:ascii="Book Antiqua" w:eastAsia="Times New Roman" w:hAnsi="Book Antiqua"/>
        </w:rPr>
        <w:t xml:space="preserve">N.     </w:t>
      </w:r>
      <w:r w:rsidR="00A0179F">
        <w:rPr>
          <w:rFonts w:ascii="Book Antiqua" w:eastAsia="Times New Roman" w:hAnsi="Book Antiqua"/>
        </w:rPr>
        <w:t xml:space="preserve"> 1</w:t>
      </w:r>
      <w:r w:rsidRPr="009E39B0">
        <w:rPr>
          <w:rFonts w:ascii="Book Antiqua" w:eastAsia="Times New Roman" w:hAnsi="Book Antiqua"/>
        </w:rPr>
        <w:t>/SEZAUT/201</w:t>
      </w:r>
      <w:r w:rsidR="00A0179F">
        <w:rPr>
          <w:rFonts w:ascii="Book Antiqua" w:eastAsia="Times New Roman" w:hAnsi="Book Antiqua"/>
        </w:rPr>
        <w:t>9</w:t>
      </w:r>
      <w:r w:rsidRPr="009E39B0">
        <w:rPr>
          <w:rFonts w:ascii="Book Antiqua" w:eastAsia="Times New Roman" w:hAnsi="Book Antiqua"/>
        </w:rPr>
        <w:t>/QMIG</w:t>
      </w:r>
    </w:p>
    <w:p w14:paraId="6B8EAA73" w14:textId="77777777" w:rsidR="00171E70" w:rsidRPr="005429AD" w:rsidRDefault="00171E70" w:rsidP="00206153">
      <w:pPr>
        <w:autoSpaceDE w:val="0"/>
        <w:autoSpaceDN w:val="0"/>
        <w:adjustRightInd w:val="0"/>
        <w:spacing w:after="80" w:line="276" w:lineRule="auto"/>
        <w:ind w:firstLine="0"/>
        <w:jc w:val="center"/>
        <w:rPr>
          <w:rFonts w:ascii="Book Antiqua" w:eastAsia="Times New Roman" w:hAnsi="Book Antiqua"/>
        </w:rPr>
      </w:pPr>
      <w:r w:rsidRPr="005429AD">
        <w:rPr>
          <w:rFonts w:ascii="Book Antiqua" w:eastAsia="Times New Roman" w:hAnsi="Book Antiqua"/>
        </w:rPr>
        <w:t>Adunanza del 2</w:t>
      </w:r>
      <w:r>
        <w:rPr>
          <w:rFonts w:ascii="Book Antiqua" w:eastAsia="Times New Roman" w:hAnsi="Book Antiqua"/>
        </w:rPr>
        <w:t>1</w:t>
      </w:r>
      <w:r w:rsidRPr="005429AD">
        <w:rPr>
          <w:rFonts w:ascii="Book Antiqua" w:eastAsia="Times New Roman" w:hAnsi="Book Antiqua"/>
        </w:rPr>
        <w:t xml:space="preserve"> </w:t>
      </w:r>
      <w:r>
        <w:rPr>
          <w:rFonts w:ascii="Book Antiqua" w:eastAsia="Times New Roman" w:hAnsi="Book Antiqua"/>
        </w:rPr>
        <w:t>dicembre</w:t>
      </w:r>
      <w:r w:rsidRPr="005429AD">
        <w:rPr>
          <w:rFonts w:ascii="Book Antiqua" w:eastAsia="Times New Roman" w:hAnsi="Book Antiqua"/>
        </w:rPr>
        <w:t xml:space="preserve"> 2018</w:t>
      </w:r>
    </w:p>
    <w:p w14:paraId="5B2DEC38" w14:textId="77777777" w:rsidR="00171E70" w:rsidRPr="005429AD" w:rsidRDefault="00171E70" w:rsidP="00206153">
      <w:pPr>
        <w:autoSpaceDE w:val="0"/>
        <w:autoSpaceDN w:val="0"/>
        <w:adjustRightInd w:val="0"/>
        <w:spacing w:after="80" w:line="276" w:lineRule="auto"/>
        <w:ind w:firstLine="0"/>
        <w:jc w:val="center"/>
        <w:rPr>
          <w:rFonts w:ascii="Book Antiqua" w:eastAsia="Times New Roman" w:hAnsi="Book Antiqua"/>
        </w:rPr>
      </w:pPr>
      <w:r w:rsidRPr="005429AD">
        <w:rPr>
          <w:rFonts w:ascii="Book Antiqua" w:eastAsia="Times New Roman" w:hAnsi="Book Antiqua"/>
        </w:rPr>
        <w:t>Presieduta dal Presidente della Corte dei conti</w:t>
      </w:r>
    </w:p>
    <w:p w14:paraId="0BCC16A9" w14:textId="77777777" w:rsidR="00171E70" w:rsidRPr="005429AD" w:rsidRDefault="00171E70" w:rsidP="00206153">
      <w:pPr>
        <w:autoSpaceDE w:val="0"/>
        <w:autoSpaceDN w:val="0"/>
        <w:adjustRightInd w:val="0"/>
        <w:spacing w:after="80" w:line="276" w:lineRule="auto"/>
        <w:ind w:firstLine="0"/>
        <w:jc w:val="center"/>
        <w:rPr>
          <w:rFonts w:ascii="Book Antiqua" w:eastAsia="Times New Roman" w:hAnsi="Book Antiqua"/>
        </w:rPr>
      </w:pPr>
      <w:r w:rsidRPr="005429AD">
        <w:rPr>
          <w:rFonts w:ascii="Book Antiqua" w:hAnsi="Book Antiqua"/>
        </w:rPr>
        <w:t>Angelo BUSCEMA</w:t>
      </w:r>
    </w:p>
    <w:p w14:paraId="2F8DFD9B" w14:textId="77777777" w:rsidR="00171E70" w:rsidRPr="005429AD" w:rsidRDefault="00171E70" w:rsidP="00206153">
      <w:pPr>
        <w:autoSpaceDE w:val="0"/>
        <w:autoSpaceDN w:val="0"/>
        <w:adjustRightInd w:val="0"/>
        <w:spacing w:after="120" w:line="276" w:lineRule="auto"/>
        <w:ind w:firstLine="0"/>
        <w:jc w:val="both"/>
        <w:rPr>
          <w:rFonts w:ascii="Book Antiqua" w:eastAsia="Calibri" w:hAnsi="Book Antiqua"/>
          <w:lang w:eastAsia="en-US"/>
        </w:rPr>
      </w:pPr>
      <w:r w:rsidRPr="005429AD">
        <w:rPr>
          <w:rFonts w:ascii="Book Antiqua" w:eastAsia="Calibri" w:hAnsi="Book Antiqua"/>
          <w:lang w:eastAsia="en-US"/>
        </w:rPr>
        <w:t>Composta dai magistrati:</w:t>
      </w:r>
    </w:p>
    <w:p w14:paraId="7546DD3A" w14:textId="1C9250F5" w:rsidR="00171E70" w:rsidRPr="005429AD" w:rsidRDefault="00171E70" w:rsidP="00206153">
      <w:pPr>
        <w:spacing w:after="80" w:line="276" w:lineRule="auto"/>
        <w:ind w:left="3119" w:hanging="3119"/>
        <w:jc w:val="both"/>
        <w:rPr>
          <w:rFonts w:ascii="Book Antiqua" w:hAnsi="Book Antiqua"/>
        </w:rPr>
      </w:pPr>
      <w:bookmarkStart w:id="3" w:name="_Hlk533154958"/>
      <w:r w:rsidRPr="005429AD">
        <w:rPr>
          <w:rFonts w:ascii="Book Antiqua" w:hAnsi="Book Antiqua"/>
        </w:rPr>
        <w:t>Presidenti di sezione</w:t>
      </w:r>
      <w:r w:rsidRPr="005429AD">
        <w:rPr>
          <w:rFonts w:ascii="Book Antiqua" w:hAnsi="Book Antiqua"/>
        </w:rPr>
        <w:tab/>
      </w:r>
      <w:r>
        <w:rPr>
          <w:rFonts w:ascii="Book Antiqua" w:hAnsi="Book Antiqua"/>
        </w:rPr>
        <w:t>Adolfo Teobaldo DE GIROLAMO</w:t>
      </w:r>
      <w:r w:rsidR="008172EF">
        <w:rPr>
          <w:rFonts w:ascii="Book Antiqua" w:hAnsi="Book Antiqua"/>
        </w:rPr>
        <w:t>,</w:t>
      </w:r>
      <w:r>
        <w:rPr>
          <w:rFonts w:ascii="Book Antiqua" w:hAnsi="Book Antiqua"/>
        </w:rPr>
        <w:t xml:space="preserve"> Maurizio GRAFFEO, </w:t>
      </w:r>
      <w:r w:rsidR="008172EF" w:rsidRPr="008172EF">
        <w:rPr>
          <w:rFonts w:ascii="Book Antiqua" w:hAnsi="Book Antiqua"/>
        </w:rPr>
        <w:t>Simonetta ROSA</w:t>
      </w:r>
      <w:r w:rsidR="008172EF">
        <w:rPr>
          <w:rFonts w:ascii="Book Antiqua" w:hAnsi="Book Antiqua"/>
        </w:rPr>
        <w:t>,</w:t>
      </w:r>
      <w:r w:rsidR="008172EF" w:rsidRPr="008172EF">
        <w:rPr>
          <w:rFonts w:ascii="Book Antiqua" w:hAnsi="Book Antiqua"/>
        </w:rPr>
        <w:t xml:space="preserve"> </w:t>
      </w:r>
      <w:r>
        <w:rPr>
          <w:rFonts w:ascii="Book Antiqua" w:hAnsi="Book Antiqua"/>
        </w:rPr>
        <w:t xml:space="preserve">Francesco PETRONIO, </w:t>
      </w:r>
      <w:r w:rsidRPr="00CE6A28">
        <w:rPr>
          <w:rFonts w:ascii="Book Antiqua" w:hAnsi="Book Antiqua"/>
        </w:rPr>
        <w:t>Josef Hermann RÖSSLER</w:t>
      </w:r>
      <w:r>
        <w:rPr>
          <w:rFonts w:ascii="Book Antiqua" w:hAnsi="Book Antiqua"/>
        </w:rPr>
        <w:t xml:space="preserve">, </w:t>
      </w:r>
      <w:r w:rsidRPr="00CE6A28">
        <w:rPr>
          <w:rFonts w:ascii="Book Antiqua" w:hAnsi="Book Antiqua"/>
        </w:rPr>
        <w:t>Cristina ZUCCHERETTI</w:t>
      </w:r>
      <w:r>
        <w:rPr>
          <w:rFonts w:ascii="Book Antiqua" w:hAnsi="Book Antiqua"/>
        </w:rPr>
        <w:t>,</w:t>
      </w:r>
      <w:r w:rsidRPr="00CE6A28">
        <w:t xml:space="preserve"> </w:t>
      </w:r>
      <w:r w:rsidR="008172EF">
        <w:t xml:space="preserve">Maria Teresa </w:t>
      </w:r>
      <w:r w:rsidR="008172EF" w:rsidRPr="008172EF">
        <w:rPr>
          <w:rFonts w:ascii="Book Antiqua" w:hAnsi="Book Antiqua"/>
        </w:rPr>
        <w:t>POLITO</w:t>
      </w:r>
      <w:r w:rsidR="008172EF">
        <w:t xml:space="preserve">, </w:t>
      </w:r>
      <w:r>
        <w:rPr>
          <w:rFonts w:ascii="Book Antiqua" w:hAnsi="Book Antiqua"/>
        </w:rPr>
        <w:t>Anna Maria Rita LENTINI</w:t>
      </w:r>
      <w:r w:rsidR="008172EF">
        <w:rPr>
          <w:rFonts w:ascii="Book Antiqua" w:hAnsi="Book Antiqua"/>
        </w:rPr>
        <w:t>, Mario NISPI LANDI, Antonio Marco CANU</w:t>
      </w:r>
      <w:r>
        <w:rPr>
          <w:rFonts w:ascii="Book Antiqua" w:hAnsi="Book Antiqua"/>
        </w:rPr>
        <w:t>;</w:t>
      </w:r>
    </w:p>
    <w:p w14:paraId="3AA1E392" w14:textId="569ED4C5" w:rsidR="00171E70" w:rsidRPr="005429AD" w:rsidRDefault="00171E70" w:rsidP="00206153">
      <w:pPr>
        <w:spacing w:after="80" w:line="276" w:lineRule="auto"/>
        <w:ind w:left="3119" w:hanging="3119"/>
        <w:jc w:val="both"/>
        <w:rPr>
          <w:rFonts w:ascii="Book Antiqua" w:hAnsi="Book Antiqua"/>
        </w:rPr>
      </w:pPr>
      <w:r w:rsidRPr="005429AD">
        <w:rPr>
          <w:rFonts w:ascii="Book Antiqua" w:hAnsi="Book Antiqua"/>
        </w:rPr>
        <w:t>Consiglieri</w:t>
      </w:r>
      <w:r w:rsidRPr="005429AD">
        <w:rPr>
          <w:rFonts w:ascii="Book Antiqua" w:hAnsi="Book Antiqua"/>
        </w:rPr>
        <w:tab/>
      </w:r>
      <w:r w:rsidR="008172EF">
        <w:rPr>
          <w:rFonts w:ascii="Book Antiqua" w:hAnsi="Book Antiqua"/>
        </w:rPr>
        <w:t xml:space="preserve">Carmela IAMELE, </w:t>
      </w:r>
      <w:r>
        <w:rPr>
          <w:rFonts w:ascii="Book Antiqua" w:hAnsi="Book Antiqua"/>
        </w:rPr>
        <w:t xml:space="preserve">Marta TONOLO, </w:t>
      </w:r>
      <w:r w:rsidRPr="00CE6A28">
        <w:rPr>
          <w:rFonts w:ascii="Book Antiqua" w:hAnsi="Book Antiqua"/>
        </w:rPr>
        <w:t xml:space="preserve">Alfredo GRASSELLI, </w:t>
      </w:r>
      <w:r>
        <w:rPr>
          <w:rFonts w:ascii="Book Antiqua" w:hAnsi="Book Antiqua"/>
        </w:rPr>
        <w:t xml:space="preserve">Rinieri FERONE, </w:t>
      </w:r>
      <w:r w:rsidR="008172EF">
        <w:rPr>
          <w:rFonts w:ascii="Book Antiqua" w:hAnsi="Book Antiqua"/>
        </w:rPr>
        <w:t xml:space="preserve">Carmela MIRABELLA, </w:t>
      </w:r>
      <w:r w:rsidRPr="00CE6A28">
        <w:rPr>
          <w:rFonts w:ascii="Book Antiqua" w:hAnsi="Book Antiqua"/>
        </w:rPr>
        <w:t xml:space="preserve">Francesco UCCELLO, Adelisa CORSETTI, </w:t>
      </w:r>
      <w:r>
        <w:rPr>
          <w:rFonts w:ascii="Book Antiqua" w:hAnsi="Book Antiqua"/>
        </w:rPr>
        <w:t xml:space="preserve">Andrea BALDANZA, </w:t>
      </w:r>
      <w:r w:rsidRPr="00CE6A28">
        <w:rPr>
          <w:rFonts w:ascii="Book Antiqua" w:hAnsi="Book Antiqua"/>
        </w:rPr>
        <w:t xml:space="preserve">Nicola BENEDIZIONE, Dario PROVVIDERA, </w:t>
      </w:r>
      <w:bookmarkStart w:id="4" w:name="_Hlk533154316"/>
      <w:r w:rsidR="00184C77">
        <w:rPr>
          <w:rFonts w:ascii="Book Antiqua" w:hAnsi="Book Antiqua"/>
        </w:rPr>
        <w:t>Mario AL</w:t>
      </w:r>
      <w:r w:rsidR="00184C77" w:rsidRPr="008172EF">
        <w:rPr>
          <w:rFonts w:ascii="Book Antiqua" w:hAnsi="Book Antiqua"/>
        </w:rPr>
        <w:t>Ì</w:t>
      </w:r>
      <w:r w:rsidR="00184C77">
        <w:rPr>
          <w:rFonts w:ascii="Book Antiqua" w:hAnsi="Book Antiqua"/>
        </w:rPr>
        <w:t>,</w:t>
      </w:r>
      <w:bookmarkEnd w:id="4"/>
      <w:r w:rsidR="00184C77">
        <w:rPr>
          <w:rFonts w:ascii="Book Antiqua" w:hAnsi="Book Antiqua"/>
        </w:rPr>
        <w:t xml:space="preserve"> Mario GUARANY, </w:t>
      </w:r>
      <w:r>
        <w:rPr>
          <w:rFonts w:ascii="Book Antiqua" w:hAnsi="Book Antiqua"/>
        </w:rPr>
        <w:t xml:space="preserve">Rossana RUMMO, </w:t>
      </w:r>
      <w:r w:rsidRPr="00CE6A28">
        <w:rPr>
          <w:rFonts w:ascii="Book Antiqua" w:hAnsi="Book Antiqua"/>
        </w:rPr>
        <w:t>Marcello DEGNI</w:t>
      </w:r>
      <w:r>
        <w:rPr>
          <w:rFonts w:ascii="Book Antiqua" w:hAnsi="Book Antiqua"/>
        </w:rPr>
        <w:t>, Alberto STANCANELLI, Giampiero PIZZICONI</w:t>
      </w:r>
      <w:r w:rsidR="00771BDF" w:rsidRPr="002D6E55">
        <w:rPr>
          <w:rFonts w:ascii="Book Antiqua" w:hAnsi="Book Antiqua"/>
        </w:rPr>
        <w:t>, Tiziano TESSARO</w:t>
      </w:r>
      <w:r>
        <w:rPr>
          <w:rFonts w:ascii="Book Antiqua" w:hAnsi="Book Antiqua"/>
        </w:rPr>
        <w:t>;</w:t>
      </w:r>
    </w:p>
    <w:p w14:paraId="6FA42849" w14:textId="28BA0D2D" w:rsidR="00171E70" w:rsidRPr="005429AD" w:rsidRDefault="00171E70" w:rsidP="00206153">
      <w:pPr>
        <w:spacing w:after="80" w:line="276" w:lineRule="auto"/>
        <w:ind w:left="3119" w:hanging="3119"/>
        <w:jc w:val="both"/>
        <w:rPr>
          <w:rFonts w:ascii="Book Antiqua" w:hAnsi="Book Antiqua"/>
        </w:rPr>
      </w:pPr>
      <w:r w:rsidRPr="005429AD">
        <w:rPr>
          <w:rFonts w:ascii="Book Antiqua" w:hAnsi="Book Antiqua"/>
        </w:rPr>
        <w:t>Primi Referendari</w:t>
      </w:r>
      <w:r w:rsidRPr="005429AD">
        <w:rPr>
          <w:rFonts w:ascii="Book Antiqua" w:hAnsi="Book Antiqua"/>
        </w:rPr>
        <w:tab/>
      </w:r>
      <w:r w:rsidR="008172EF">
        <w:rPr>
          <w:rFonts w:ascii="Book Antiqua" w:hAnsi="Book Antiqua"/>
        </w:rPr>
        <w:t>Francesco SUCAMELI, Marco RANDOLFI</w:t>
      </w:r>
      <w:r>
        <w:rPr>
          <w:rFonts w:ascii="Book Antiqua" w:hAnsi="Book Antiqua"/>
        </w:rPr>
        <w:t>;</w:t>
      </w:r>
    </w:p>
    <w:p w14:paraId="07AA66F8" w14:textId="77777777" w:rsidR="00171E70" w:rsidRPr="005429AD" w:rsidRDefault="00171E70" w:rsidP="00206153">
      <w:pPr>
        <w:spacing w:after="80" w:line="276" w:lineRule="auto"/>
        <w:ind w:left="3119" w:hanging="3119"/>
        <w:jc w:val="both"/>
        <w:rPr>
          <w:rFonts w:ascii="Book Antiqua" w:hAnsi="Book Antiqua"/>
        </w:rPr>
      </w:pPr>
      <w:r w:rsidRPr="005429AD">
        <w:rPr>
          <w:rFonts w:ascii="Book Antiqua" w:hAnsi="Book Antiqua"/>
        </w:rPr>
        <w:t>Referendari</w:t>
      </w:r>
      <w:r w:rsidRPr="005429AD">
        <w:rPr>
          <w:rFonts w:ascii="Book Antiqua" w:hAnsi="Book Antiqua"/>
        </w:rPr>
        <w:tab/>
      </w:r>
      <w:r>
        <w:rPr>
          <w:rFonts w:ascii="Book Antiqua" w:hAnsi="Book Antiqua"/>
        </w:rPr>
        <w:t>Stefania Anna DORIGO.</w:t>
      </w:r>
      <w:bookmarkEnd w:id="3"/>
    </w:p>
    <w:p w14:paraId="03D3D12E" w14:textId="5BF3315C" w:rsidR="00AA2BE8" w:rsidRDefault="00AA2BE8" w:rsidP="00206153">
      <w:pPr>
        <w:shd w:val="clear" w:color="auto" w:fill="FFFFFF"/>
        <w:spacing w:after="120" w:line="276" w:lineRule="auto"/>
        <w:ind w:firstLine="0"/>
        <w:jc w:val="both"/>
        <w:rPr>
          <w:rFonts w:ascii="Book Antiqua" w:hAnsi="Book Antiqua"/>
          <w:szCs w:val="22"/>
        </w:rPr>
      </w:pPr>
    </w:p>
    <w:p w14:paraId="1BB97582" w14:textId="77777777" w:rsidR="00171E70" w:rsidRPr="009E39B0" w:rsidRDefault="00171E70" w:rsidP="00206153">
      <w:pPr>
        <w:shd w:val="clear" w:color="auto" w:fill="FFFFFF"/>
        <w:spacing w:after="120" w:line="276" w:lineRule="auto"/>
        <w:ind w:firstLine="0"/>
        <w:jc w:val="both"/>
        <w:rPr>
          <w:rFonts w:ascii="Book Antiqua" w:hAnsi="Book Antiqua"/>
          <w:szCs w:val="22"/>
        </w:rPr>
      </w:pPr>
    </w:p>
    <w:p w14:paraId="602F4F90" w14:textId="77777777"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Visto l’art. 100, secondo comma, della Costituzione;</w:t>
      </w:r>
    </w:p>
    <w:p w14:paraId="120C3B61" w14:textId="77777777"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Vista la legge costituzionale 18 ottobre 2001, n. 3;</w:t>
      </w:r>
    </w:p>
    <w:p w14:paraId="7A4EB993" w14:textId="77777777"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 xml:space="preserve">Visto il testo unico delle leggi sulla Corte dei conti, approvato con regio decreto 12 luglio 1934, n. 1214, e le successive modificazioni ed integrazioni; </w:t>
      </w:r>
    </w:p>
    <w:p w14:paraId="3932253A" w14:textId="77777777"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Visto l’art. 3 della legge 14 gennaio 1994, n. 20;</w:t>
      </w:r>
    </w:p>
    <w:p w14:paraId="53CB0067" w14:textId="77777777"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Visto l’art. 7, comma 8, della legge 5 giugno 2003, n. 131, recante disposizioni per l’adeguamento dell’ordinamento della Repubblica alla legge costituzionale 18 ottobre 2001, n. 3;</w:t>
      </w:r>
    </w:p>
    <w:p w14:paraId="2DDB638F" w14:textId="1027C445"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lastRenderedPageBreak/>
        <w:t xml:space="preserve">Visto il regolamento per l’organizzazione delle funzioni di controllo della Corte dei conti, approvato dalle Sezioni </w:t>
      </w:r>
      <w:r w:rsidR="00D22A73">
        <w:rPr>
          <w:rFonts w:ascii="Book Antiqua" w:hAnsi="Book Antiqua"/>
          <w:szCs w:val="22"/>
        </w:rPr>
        <w:t>R</w:t>
      </w:r>
      <w:r w:rsidRPr="009E39B0">
        <w:rPr>
          <w:rFonts w:ascii="Book Antiqua" w:hAnsi="Book Antiqua"/>
          <w:szCs w:val="22"/>
        </w:rPr>
        <w:t>iunite con la deliberazione n. 14 del 16 giugno 2000 e le successive modifiche ed integrazioni;</w:t>
      </w:r>
    </w:p>
    <w:p w14:paraId="54872D41" w14:textId="77777777" w:rsidR="000D5013" w:rsidRPr="009E39B0" w:rsidRDefault="000D5013"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Visto l’art. 6, comma 4, del d.l. 10 ottobre 2012, n. 174, convertito, con modificazioni, dalla legge 7 dicembre 2012, n. 213 e le successive modifiche ed integrazioni;</w:t>
      </w:r>
    </w:p>
    <w:p w14:paraId="0F31F94C" w14:textId="168CDBA4" w:rsidR="00171E70" w:rsidRPr="009E39B0" w:rsidRDefault="00171E70" w:rsidP="00206153">
      <w:pPr>
        <w:shd w:val="clear" w:color="auto" w:fill="FFFFFF"/>
        <w:spacing w:after="120" w:line="276" w:lineRule="auto"/>
        <w:ind w:firstLine="0"/>
        <w:jc w:val="both"/>
        <w:rPr>
          <w:rFonts w:ascii="Book Antiqua" w:hAnsi="Book Antiqua"/>
          <w:szCs w:val="22"/>
        </w:rPr>
      </w:pPr>
      <w:bookmarkStart w:id="5" w:name="_Hlk526940454"/>
      <w:r w:rsidRPr="009E39B0">
        <w:rPr>
          <w:rFonts w:ascii="Book Antiqua" w:hAnsi="Book Antiqua"/>
          <w:szCs w:val="22"/>
        </w:rPr>
        <w:t xml:space="preserve">Vista la deliberazione n. </w:t>
      </w:r>
      <w:r w:rsidR="002961C9">
        <w:rPr>
          <w:rFonts w:ascii="Book Antiqua" w:hAnsi="Book Antiqua"/>
          <w:szCs w:val="22"/>
        </w:rPr>
        <w:t>323</w:t>
      </w:r>
      <w:r w:rsidRPr="009E39B0">
        <w:rPr>
          <w:rFonts w:ascii="Book Antiqua" w:hAnsi="Book Antiqua"/>
          <w:szCs w:val="22"/>
        </w:rPr>
        <w:t>/2018/</w:t>
      </w:r>
      <w:r>
        <w:rPr>
          <w:rFonts w:ascii="Book Antiqua" w:hAnsi="Book Antiqua"/>
          <w:szCs w:val="22"/>
        </w:rPr>
        <w:t>QMIG</w:t>
      </w:r>
      <w:r w:rsidRPr="009E39B0">
        <w:rPr>
          <w:rFonts w:ascii="Book Antiqua" w:hAnsi="Book Antiqua"/>
          <w:szCs w:val="22"/>
        </w:rPr>
        <w:t xml:space="preserve">, depositata il </w:t>
      </w:r>
      <w:r>
        <w:rPr>
          <w:rFonts w:ascii="Book Antiqua" w:hAnsi="Book Antiqua"/>
          <w:szCs w:val="22"/>
        </w:rPr>
        <w:t>2</w:t>
      </w:r>
      <w:r w:rsidR="002961C9">
        <w:rPr>
          <w:rFonts w:ascii="Book Antiqua" w:hAnsi="Book Antiqua"/>
          <w:szCs w:val="22"/>
        </w:rPr>
        <w:t>6</w:t>
      </w:r>
      <w:r>
        <w:rPr>
          <w:rFonts w:ascii="Book Antiqua" w:hAnsi="Book Antiqua"/>
          <w:szCs w:val="22"/>
        </w:rPr>
        <w:t xml:space="preserve"> luglio 2</w:t>
      </w:r>
      <w:r w:rsidRPr="009E39B0">
        <w:rPr>
          <w:rFonts w:ascii="Book Antiqua" w:hAnsi="Book Antiqua"/>
          <w:szCs w:val="22"/>
        </w:rPr>
        <w:t xml:space="preserve">018, con la quale la Sezione </w:t>
      </w:r>
      <w:r w:rsidR="002961C9">
        <w:rPr>
          <w:rFonts w:ascii="Book Antiqua" w:hAnsi="Book Antiqua"/>
          <w:szCs w:val="22"/>
        </w:rPr>
        <w:t xml:space="preserve">regionale </w:t>
      </w:r>
      <w:r w:rsidRPr="009E39B0">
        <w:rPr>
          <w:rFonts w:ascii="Book Antiqua" w:hAnsi="Book Antiqua"/>
          <w:szCs w:val="22"/>
        </w:rPr>
        <w:t xml:space="preserve">di controllo per </w:t>
      </w:r>
      <w:r w:rsidR="002961C9">
        <w:rPr>
          <w:rFonts w:ascii="Book Antiqua" w:hAnsi="Book Antiqua"/>
          <w:szCs w:val="22"/>
        </w:rPr>
        <w:t>il Veneto</w:t>
      </w:r>
      <w:r>
        <w:rPr>
          <w:rFonts w:ascii="Book Antiqua" w:hAnsi="Book Antiqua"/>
          <w:szCs w:val="22"/>
        </w:rPr>
        <w:t xml:space="preserve"> </w:t>
      </w:r>
      <w:r w:rsidRPr="009E39B0">
        <w:rPr>
          <w:rFonts w:ascii="Book Antiqua" w:hAnsi="Book Antiqua"/>
          <w:szCs w:val="22"/>
        </w:rPr>
        <w:t xml:space="preserve">ha rimesso al Presidente della Corte dei conti, ai sensi dell’art. 6, comma 4, del d.l. n. 174/2012, </w:t>
      </w:r>
      <w:r>
        <w:rPr>
          <w:rFonts w:ascii="Book Antiqua" w:hAnsi="Book Antiqua"/>
          <w:szCs w:val="22"/>
        </w:rPr>
        <w:t xml:space="preserve">una questione di massima </w:t>
      </w:r>
      <w:r w:rsidR="002961C9" w:rsidRPr="002961C9">
        <w:rPr>
          <w:rFonts w:ascii="Book Antiqua" w:hAnsi="Book Antiqua"/>
          <w:szCs w:val="22"/>
        </w:rPr>
        <w:t>in ordine alla richiesta di parere presentata dal Sindaco del Comune di Rubano (PD) afferente i vincoli di destinazione previsti dall’art. 142 del d.lgs. n. 285/1992 (“</w:t>
      </w:r>
      <w:r w:rsidR="002961C9" w:rsidRPr="002961C9">
        <w:rPr>
          <w:rFonts w:ascii="Book Antiqua" w:hAnsi="Book Antiqua"/>
          <w:i/>
          <w:szCs w:val="22"/>
        </w:rPr>
        <w:t>Nuovo codice della strada</w:t>
      </w:r>
      <w:r w:rsidR="002961C9" w:rsidRPr="002961C9">
        <w:rPr>
          <w:rFonts w:ascii="Book Antiqua" w:hAnsi="Book Antiqua"/>
          <w:szCs w:val="22"/>
        </w:rPr>
        <w:t>”) sugli introiti derivanti dall’accertamento delle sanzioni amministrative pecuniarie per violazione dei limiti massimi di velocità e, nello specifico, in ordine alla corretta interpretazione delle prescrizioni di cui al comma 12-</w:t>
      </w:r>
      <w:r w:rsidR="002961C9" w:rsidRPr="002961C9">
        <w:rPr>
          <w:rFonts w:ascii="Book Antiqua" w:hAnsi="Book Antiqua"/>
          <w:i/>
          <w:szCs w:val="22"/>
        </w:rPr>
        <w:t>bis</w:t>
      </w:r>
      <w:r w:rsidR="002961C9" w:rsidRPr="002961C9">
        <w:rPr>
          <w:rFonts w:ascii="Book Antiqua" w:hAnsi="Book Antiqua"/>
          <w:szCs w:val="22"/>
        </w:rPr>
        <w:t xml:space="preserve"> del richiamato art. 142, ai fini dell’esatta quantificazione della quota del 50% dei proventi derivanti dall’accertamento delle violazioni dei limiti massimi di velocità</w:t>
      </w:r>
      <w:r w:rsidRPr="009E39B0">
        <w:rPr>
          <w:rFonts w:ascii="Book Antiqua" w:hAnsi="Book Antiqua"/>
          <w:szCs w:val="22"/>
        </w:rPr>
        <w:t>;</w:t>
      </w:r>
    </w:p>
    <w:p w14:paraId="0BB93110" w14:textId="78E19AAA" w:rsidR="000D5013" w:rsidRPr="009E39B0" w:rsidRDefault="00171E70" w:rsidP="00206153">
      <w:pPr>
        <w:shd w:val="clear" w:color="auto" w:fill="FFFFFF"/>
        <w:spacing w:after="120" w:line="276" w:lineRule="auto"/>
        <w:ind w:firstLine="0"/>
        <w:jc w:val="both"/>
        <w:rPr>
          <w:rFonts w:ascii="Book Antiqua" w:hAnsi="Book Antiqua"/>
          <w:szCs w:val="22"/>
        </w:rPr>
      </w:pPr>
      <w:r w:rsidRPr="009E39B0">
        <w:rPr>
          <w:rFonts w:ascii="Book Antiqua" w:hAnsi="Book Antiqua"/>
          <w:szCs w:val="22"/>
        </w:rPr>
        <w:t xml:space="preserve">Vista l’ordinanza del Presidente della Corte dei conti n. </w:t>
      </w:r>
      <w:r>
        <w:rPr>
          <w:rFonts w:ascii="Book Antiqua" w:hAnsi="Book Antiqua"/>
          <w:szCs w:val="22"/>
        </w:rPr>
        <w:t>2</w:t>
      </w:r>
      <w:r w:rsidR="002961C9">
        <w:rPr>
          <w:rFonts w:ascii="Book Antiqua" w:hAnsi="Book Antiqua"/>
          <w:szCs w:val="22"/>
        </w:rPr>
        <w:t>3</w:t>
      </w:r>
      <w:r w:rsidRPr="009E39B0">
        <w:rPr>
          <w:rFonts w:ascii="Book Antiqua" w:hAnsi="Book Antiqua"/>
          <w:szCs w:val="22"/>
        </w:rPr>
        <w:t xml:space="preserve"> del </w:t>
      </w:r>
      <w:r w:rsidR="002961C9">
        <w:rPr>
          <w:rFonts w:ascii="Book Antiqua" w:hAnsi="Book Antiqua"/>
          <w:szCs w:val="22"/>
        </w:rPr>
        <w:t>1</w:t>
      </w:r>
      <w:r>
        <w:rPr>
          <w:rFonts w:ascii="Book Antiqua" w:hAnsi="Book Antiqua"/>
          <w:szCs w:val="22"/>
        </w:rPr>
        <w:t xml:space="preserve">2 novembre </w:t>
      </w:r>
      <w:r w:rsidRPr="009E39B0">
        <w:rPr>
          <w:rFonts w:ascii="Book Antiqua" w:hAnsi="Book Antiqua"/>
          <w:szCs w:val="22"/>
        </w:rPr>
        <w:t xml:space="preserve">2018 con la quale, valutati i presupposti per il deferimento dell’esame e della risoluzione della predetta questione di massima ai sensi del richiamato art. 6, comma 4, del d.l. n. 174/2012, è stata rimessa alla Sezione delle autonomie la pronuncia in ordine alla questione prospettata dalla </w:t>
      </w:r>
      <w:r w:rsidR="002961C9" w:rsidRPr="009E39B0">
        <w:rPr>
          <w:rFonts w:ascii="Book Antiqua" w:hAnsi="Book Antiqua"/>
          <w:szCs w:val="22"/>
        </w:rPr>
        <w:t xml:space="preserve">Sezione </w:t>
      </w:r>
      <w:r w:rsidR="002961C9">
        <w:rPr>
          <w:rFonts w:ascii="Book Antiqua" w:hAnsi="Book Antiqua"/>
          <w:szCs w:val="22"/>
        </w:rPr>
        <w:t xml:space="preserve">regionale </w:t>
      </w:r>
      <w:r w:rsidR="002961C9" w:rsidRPr="009E39B0">
        <w:rPr>
          <w:rFonts w:ascii="Book Antiqua" w:hAnsi="Book Antiqua"/>
          <w:szCs w:val="22"/>
        </w:rPr>
        <w:t xml:space="preserve">di controllo per </w:t>
      </w:r>
      <w:r w:rsidR="002961C9">
        <w:rPr>
          <w:rFonts w:ascii="Book Antiqua" w:hAnsi="Book Antiqua"/>
          <w:szCs w:val="22"/>
        </w:rPr>
        <w:t>il Veneto</w:t>
      </w:r>
      <w:r w:rsidRPr="009E39B0">
        <w:rPr>
          <w:rFonts w:ascii="Book Antiqua" w:hAnsi="Book Antiqua"/>
          <w:szCs w:val="22"/>
        </w:rPr>
        <w:t>;</w:t>
      </w:r>
    </w:p>
    <w:p w14:paraId="5A9BF619" w14:textId="38F0C13B" w:rsidR="000D5013" w:rsidRPr="009E39B0" w:rsidRDefault="00171E70" w:rsidP="00206153">
      <w:pPr>
        <w:shd w:val="clear" w:color="auto" w:fill="FFFFFF"/>
        <w:spacing w:after="120" w:line="276" w:lineRule="auto"/>
        <w:ind w:firstLine="0"/>
        <w:jc w:val="both"/>
        <w:rPr>
          <w:rFonts w:ascii="Book Antiqua" w:hAnsi="Book Antiqua"/>
          <w:szCs w:val="22"/>
        </w:rPr>
      </w:pPr>
      <w:r w:rsidRPr="000D5013">
        <w:rPr>
          <w:rFonts w:ascii="Book Antiqua" w:hAnsi="Book Antiqua"/>
        </w:rPr>
        <w:t xml:space="preserve">Vista la nota del Presidente della Corte dei conti n. </w:t>
      </w:r>
      <w:r>
        <w:rPr>
          <w:rFonts w:ascii="Book Antiqua" w:hAnsi="Book Antiqua"/>
        </w:rPr>
        <w:t>1555</w:t>
      </w:r>
      <w:r w:rsidRPr="000D5013">
        <w:rPr>
          <w:rFonts w:ascii="Book Antiqua" w:hAnsi="Book Antiqua"/>
        </w:rPr>
        <w:t xml:space="preserve"> del</w:t>
      </w:r>
      <w:r>
        <w:rPr>
          <w:rFonts w:ascii="Book Antiqua" w:hAnsi="Book Antiqua"/>
        </w:rPr>
        <w:t>l’11 dicembre</w:t>
      </w:r>
      <w:r w:rsidRPr="000D5013">
        <w:rPr>
          <w:rFonts w:ascii="Book Antiqua" w:hAnsi="Book Antiqua"/>
        </w:rPr>
        <w:t xml:space="preserve"> 2018 di convocazione della Sezione delle autonomie per l’odierna adunanza;</w:t>
      </w:r>
    </w:p>
    <w:p w14:paraId="0A52F0AD" w14:textId="6BE8AED1" w:rsidR="008A70DA" w:rsidRPr="009E39B0" w:rsidRDefault="000D5013" w:rsidP="00206153">
      <w:pPr>
        <w:shd w:val="clear" w:color="auto" w:fill="FFFFFF"/>
        <w:spacing w:after="120" w:line="276" w:lineRule="auto"/>
        <w:ind w:firstLine="0"/>
        <w:jc w:val="both"/>
        <w:rPr>
          <w:rFonts w:ascii="Book Antiqua" w:hAnsi="Book Antiqua"/>
          <w:spacing w:val="-4"/>
          <w:szCs w:val="22"/>
        </w:rPr>
      </w:pPr>
      <w:r w:rsidRPr="009E39B0">
        <w:rPr>
          <w:rFonts w:ascii="Book Antiqua" w:hAnsi="Book Antiqua"/>
          <w:szCs w:val="22"/>
        </w:rPr>
        <w:t>Udit</w:t>
      </w:r>
      <w:r w:rsidR="00171E70">
        <w:rPr>
          <w:rFonts w:ascii="Book Antiqua" w:hAnsi="Book Antiqua"/>
          <w:szCs w:val="22"/>
        </w:rPr>
        <w:t>o</w:t>
      </w:r>
      <w:r w:rsidRPr="009E39B0">
        <w:rPr>
          <w:rFonts w:ascii="Book Antiqua" w:hAnsi="Book Antiqua"/>
          <w:szCs w:val="22"/>
        </w:rPr>
        <w:t xml:space="preserve"> i relator</w:t>
      </w:r>
      <w:r w:rsidR="002961C9">
        <w:rPr>
          <w:rFonts w:ascii="Book Antiqua" w:hAnsi="Book Antiqua"/>
          <w:szCs w:val="22"/>
        </w:rPr>
        <w:t>i</w:t>
      </w:r>
      <w:r w:rsidRPr="009E39B0">
        <w:rPr>
          <w:rFonts w:ascii="Book Antiqua" w:hAnsi="Book Antiqua"/>
          <w:szCs w:val="22"/>
        </w:rPr>
        <w:t>, Consiglier</w:t>
      </w:r>
      <w:r w:rsidR="002961C9">
        <w:rPr>
          <w:rFonts w:ascii="Book Antiqua" w:hAnsi="Book Antiqua"/>
          <w:szCs w:val="22"/>
        </w:rPr>
        <w:t>i</w:t>
      </w:r>
      <w:r w:rsidRPr="009E39B0">
        <w:rPr>
          <w:rFonts w:ascii="Book Antiqua" w:hAnsi="Book Antiqua"/>
          <w:szCs w:val="22"/>
        </w:rPr>
        <w:t xml:space="preserve"> </w:t>
      </w:r>
      <w:r w:rsidR="002961C9">
        <w:rPr>
          <w:rFonts w:ascii="Book Antiqua" w:hAnsi="Book Antiqua"/>
          <w:szCs w:val="22"/>
        </w:rPr>
        <w:t>Rinieri Ferone e Dario Provvidera</w:t>
      </w:r>
      <w:r w:rsidRPr="009E39B0">
        <w:rPr>
          <w:rFonts w:ascii="Book Antiqua" w:hAnsi="Book Antiqua"/>
          <w:szCs w:val="22"/>
        </w:rPr>
        <w:t>;</w:t>
      </w:r>
      <w:bookmarkEnd w:id="5"/>
    </w:p>
    <w:p w14:paraId="4AF97EC0" w14:textId="72E628FF" w:rsidR="00DC3C1B" w:rsidRPr="009E39B0" w:rsidRDefault="000D5013" w:rsidP="00206153">
      <w:pPr>
        <w:shd w:val="clear" w:color="auto" w:fill="FFFFFF"/>
        <w:spacing w:before="240" w:after="240" w:line="276" w:lineRule="auto"/>
        <w:ind w:firstLine="0"/>
        <w:jc w:val="center"/>
        <w:rPr>
          <w:rFonts w:ascii="Book Antiqua" w:hAnsi="Book Antiqua"/>
          <w:b/>
          <w:spacing w:val="20"/>
          <w:szCs w:val="22"/>
        </w:rPr>
      </w:pPr>
      <w:r w:rsidRPr="009E39B0">
        <w:rPr>
          <w:rFonts w:ascii="Book Antiqua" w:hAnsi="Book Antiqua"/>
          <w:b/>
          <w:spacing w:val="20"/>
          <w:szCs w:val="22"/>
        </w:rPr>
        <w:t>PREMESSO</w:t>
      </w:r>
    </w:p>
    <w:p w14:paraId="5882587F" w14:textId="6B9AD8F8"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Il Sindaco del Comune di Rubano (PD)</w:t>
      </w:r>
      <w:r w:rsidRPr="00206153">
        <w:rPr>
          <w:rFonts w:ascii="Book Antiqua" w:hAnsi="Book Antiqua"/>
          <w:b/>
          <w:szCs w:val="22"/>
        </w:rPr>
        <w:t xml:space="preserve"> </w:t>
      </w:r>
      <w:r w:rsidRPr="00206153">
        <w:rPr>
          <w:rFonts w:ascii="Book Antiqua" w:hAnsi="Book Antiqua"/>
          <w:szCs w:val="22"/>
        </w:rPr>
        <w:t xml:space="preserve">ha inoltrato alla Sezione di controllo per il Veneto una richiesta di parere ai sensi dell’art. 7, comma 8, </w:t>
      </w:r>
      <w:r w:rsidR="00A96E87">
        <w:rPr>
          <w:rFonts w:ascii="Book Antiqua" w:hAnsi="Book Antiqua"/>
          <w:szCs w:val="22"/>
        </w:rPr>
        <w:t>legge n.</w:t>
      </w:r>
      <w:r w:rsidRPr="00206153">
        <w:rPr>
          <w:rFonts w:ascii="Book Antiqua" w:hAnsi="Book Antiqua"/>
          <w:szCs w:val="22"/>
        </w:rPr>
        <w:t xml:space="preserve"> 131/2003, inerente al rispetto dei vincoli di destinazione previsti dall’art. 142 del </w:t>
      </w:r>
      <w:r w:rsidR="00A96E87">
        <w:rPr>
          <w:rFonts w:ascii="Book Antiqua" w:hAnsi="Book Antiqua"/>
          <w:szCs w:val="22"/>
        </w:rPr>
        <w:t>d</w:t>
      </w:r>
      <w:r w:rsidRPr="00206153">
        <w:rPr>
          <w:rFonts w:ascii="Book Antiqua" w:hAnsi="Book Antiqua"/>
          <w:szCs w:val="22"/>
        </w:rPr>
        <w:t>.</w:t>
      </w:r>
      <w:r w:rsidR="00A96E87">
        <w:rPr>
          <w:rFonts w:ascii="Book Antiqua" w:hAnsi="Book Antiqua"/>
          <w:szCs w:val="22"/>
        </w:rPr>
        <w:t>l</w:t>
      </w:r>
      <w:r w:rsidRPr="00206153">
        <w:rPr>
          <w:rFonts w:ascii="Book Antiqua" w:hAnsi="Book Antiqua"/>
          <w:szCs w:val="22"/>
        </w:rPr>
        <w:t>gs. n. 285/1992 (“</w:t>
      </w:r>
      <w:r w:rsidRPr="00206153">
        <w:rPr>
          <w:rFonts w:ascii="Book Antiqua" w:hAnsi="Book Antiqua"/>
          <w:i/>
          <w:szCs w:val="22"/>
        </w:rPr>
        <w:t>Nuovo codice della strada</w:t>
      </w:r>
      <w:r w:rsidRPr="00206153">
        <w:rPr>
          <w:rFonts w:ascii="Book Antiqua" w:hAnsi="Book Antiqua"/>
          <w:szCs w:val="22"/>
        </w:rPr>
        <w:t>”) per gli introiti derivanti dall’accertamento delle sanzioni amministrative pecuniarie per violazione dei limiti massimi di velocità.</w:t>
      </w:r>
    </w:p>
    <w:p w14:paraId="1B89F840" w14:textId="4E07C7AE"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In particolare, l’ente ha chiesto se, con riguardo alle prescrizioni di cui al comma 12</w:t>
      </w:r>
      <w:r>
        <w:rPr>
          <w:rFonts w:ascii="Book Antiqua" w:hAnsi="Book Antiqua"/>
          <w:szCs w:val="22"/>
        </w:rPr>
        <w:t>-</w:t>
      </w:r>
      <w:r w:rsidRPr="00A96E87">
        <w:rPr>
          <w:rFonts w:ascii="Book Antiqua" w:hAnsi="Book Antiqua"/>
          <w:i/>
          <w:szCs w:val="22"/>
        </w:rPr>
        <w:t>bis</w:t>
      </w:r>
      <w:r>
        <w:rPr>
          <w:rFonts w:ascii="Book Antiqua" w:hAnsi="Book Antiqua"/>
          <w:szCs w:val="22"/>
        </w:rPr>
        <w:t xml:space="preserve"> della citata normativa, </w:t>
      </w:r>
      <w:r w:rsidRPr="00206153">
        <w:rPr>
          <w:rFonts w:ascii="Book Antiqua" w:hAnsi="Book Antiqua"/>
          <w:szCs w:val="22"/>
        </w:rPr>
        <w:t>ai fini della corretta quantificazione della quota del 50% dei proventi derivanti dall’accertamento delle violazioni dei limiti massimi di velocità rile</w:t>
      </w:r>
      <w:r>
        <w:rPr>
          <w:rFonts w:ascii="Book Antiqua" w:hAnsi="Book Antiqua"/>
          <w:szCs w:val="22"/>
        </w:rPr>
        <w:t>vati con apparecchi elettronici</w:t>
      </w:r>
      <w:r w:rsidRPr="00206153">
        <w:rPr>
          <w:rFonts w:ascii="Book Antiqua" w:hAnsi="Book Antiqua"/>
          <w:szCs w:val="22"/>
        </w:rPr>
        <w:t xml:space="preserve"> sia corretto detrarre da tale quota, oltre alle spese connesse al rilevamento, all’accertamento e alla notifica della violazione, ed a quelle successive relative alla riscossione della sanzione, anche quelle relative alle spese del personale impiegato nella specifica attività di controllo e di accertamento delle violazioni, comprese le attività svolte dal personale amministrativo intern</w:t>
      </w:r>
      <w:r>
        <w:rPr>
          <w:rFonts w:ascii="Book Antiqua" w:hAnsi="Book Antiqua"/>
          <w:szCs w:val="22"/>
        </w:rPr>
        <w:t>o. A tal proposito, l’Ente ha richiamato</w:t>
      </w:r>
      <w:r w:rsidRPr="00206153">
        <w:rPr>
          <w:rFonts w:ascii="Book Antiqua" w:hAnsi="Book Antiqua"/>
          <w:szCs w:val="22"/>
        </w:rPr>
        <w:t xml:space="preserve"> alcuni </w:t>
      </w:r>
      <w:r>
        <w:rPr>
          <w:rFonts w:ascii="Book Antiqua" w:hAnsi="Book Antiqua"/>
          <w:szCs w:val="22"/>
        </w:rPr>
        <w:lastRenderedPageBreak/>
        <w:t>pronunciamenti di alcune</w:t>
      </w:r>
      <w:r w:rsidRPr="00206153">
        <w:rPr>
          <w:rFonts w:ascii="Book Antiqua" w:hAnsi="Book Antiqua"/>
          <w:szCs w:val="22"/>
        </w:rPr>
        <w:t xml:space="preserve"> Sezioni regionali di controllo (Sez. Emilia Romagna n. 44/2016/PAR, Sez. Umbria n. 66/2014/PAR e Sez. Toscana n. 104/2010/PAR) che riconoscono la legittima decurtazione dagli introiti realizzati per le violazioni in argomento di tutte le spese occasionate dai relativi procedimenti amministrativi.</w:t>
      </w:r>
    </w:p>
    <w:p w14:paraId="170574B6" w14:textId="746FBADF"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La Sezione regionale interpellata ha ritenuto op</w:t>
      </w:r>
      <w:r>
        <w:rPr>
          <w:rFonts w:ascii="Book Antiqua" w:hAnsi="Book Antiqua"/>
          <w:szCs w:val="22"/>
        </w:rPr>
        <w:t>portuno considerare anche gli</w:t>
      </w:r>
      <w:r w:rsidRPr="00206153">
        <w:rPr>
          <w:rFonts w:ascii="Book Antiqua" w:hAnsi="Book Antiqua"/>
          <w:szCs w:val="22"/>
        </w:rPr>
        <w:t xml:space="preserve"> effetti dell’entrata in vigore a regime dei principi del </w:t>
      </w:r>
      <w:r w:rsidR="00A96E87">
        <w:rPr>
          <w:rFonts w:ascii="Book Antiqua" w:hAnsi="Book Antiqua"/>
          <w:szCs w:val="22"/>
        </w:rPr>
        <w:t>d</w:t>
      </w:r>
      <w:r w:rsidRPr="00206153">
        <w:rPr>
          <w:rFonts w:ascii="Book Antiqua" w:hAnsi="Book Antiqua"/>
          <w:szCs w:val="22"/>
        </w:rPr>
        <w:t xml:space="preserve">.lgs. </w:t>
      </w:r>
      <w:r w:rsidR="00A96E87">
        <w:rPr>
          <w:rFonts w:ascii="Book Antiqua" w:hAnsi="Book Antiqua"/>
          <w:szCs w:val="22"/>
        </w:rPr>
        <w:t xml:space="preserve">n. </w:t>
      </w:r>
      <w:r w:rsidRPr="00206153">
        <w:rPr>
          <w:rFonts w:ascii="Book Antiqua" w:hAnsi="Book Antiqua"/>
          <w:szCs w:val="22"/>
        </w:rPr>
        <w:t>11</w:t>
      </w:r>
      <w:r>
        <w:rPr>
          <w:rFonts w:ascii="Book Antiqua" w:hAnsi="Book Antiqua"/>
          <w:szCs w:val="22"/>
        </w:rPr>
        <w:t>8/2011 che potrebbero applicarsi</w:t>
      </w:r>
      <w:r w:rsidRPr="00206153">
        <w:rPr>
          <w:rFonts w:ascii="Book Antiqua" w:hAnsi="Book Antiqua"/>
          <w:szCs w:val="22"/>
        </w:rPr>
        <w:t xml:space="preserve"> al caso in oggetto. </w:t>
      </w:r>
    </w:p>
    <w:p w14:paraId="475B2C34" w14:textId="7B94A50E"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 xml:space="preserve">Nel dettaglio, la disciplina di cui al punto 9.11.4, </w:t>
      </w:r>
      <w:proofErr w:type="spellStart"/>
      <w:r w:rsidRPr="00206153">
        <w:rPr>
          <w:rFonts w:ascii="Book Antiqua" w:hAnsi="Book Antiqua"/>
          <w:szCs w:val="22"/>
        </w:rPr>
        <w:t>All</w:t>
      </w:r>
      <w:proofErr w:type="spellEnd"/>
      <w:r w:rsidRPr="00206153">
        <w:rPr>
          <w:rFonts w:ascii="Book Antiqua" w:hAnsi="Book Antiqua"/>
          <w:szCs w:val="22"/>
        </w:rPr>
        <w:t xml:space="preserve">. 4/1, D.l.gs. n. 118/2011, prevede che “Con riferimento ai vincoli di destinazione delle entrate derivanti dalle sanzioni per violazioni del </w:t>
      </w:r>
      <w:r w:rsidR="00A96E87">
        <w:rPr>
          <w:rFonts w:ascii="Book Antiqua" w:hAnsi="Book Antiqua"/>
          <w:szCs w:val="22"/>
        </w:rPr>
        <w:t>c</w:t>
      </w:r>
      <w:r w:rsidRPr="00206153">
        <w:rPr>
          <w:rFonts w:ascii="Book Antiqua" w:hAnsi="Book Antiqua"/>
          <w:szCs w:val="22"/>
        </w:rPr>
        <w:t xml:space="preserve">odice della strada, nella colonna b) è indicato il totale degli accertamenti delle entrate da sanzioni, dedotto lo stanziamento definitivo al fondo crediti di dubbia esigibilità/fondo svalutazione crediti riguardante tale entrate e gli impegni assunti per il compenso al concessionario”. Più specificatamente, l’Esempio n. 4 del medesimo Allegato del </w:t>
      </w:r>
      <w:r w:rsidR="00A96E87">
        <w:rPr>
          <w:rFonts w:ascii="Book Antiqua" w:hAnsi="Book Antiqua"/>
          <w:szCs w:val="22"/>
        </w:rPr>
        <w:t>d</w:t>
      </w:r>
      <w:r w:rsidRPr="00206153">
        <w:rPr>
          <w:rFonts w:ascii="Book Antiqua" w:hAnsi="Book Antiqua"/>
          <w:szCs w:val="22"/>
        </w:rPr>
        <w:t xml:space="preserve">ecreto sull’armonizzazione, dedicato all’accertamento dei proventi derivanti dalle sanzioni per violazione al </w:t>
      </w:r>
      <w:r w:rsidR="00A96E87">
        <w:rPr>
          <w:rFonts w:ascii="Book Antiqua" w:hAnsi="Book Antiqua"/>
          <w:szCs w:val="22"/>
        </w:rPr>
        <w:t>c</w:t>
      </w:r>
      <w:r w:rsidRPr="00206153">
        <w:rPr>
          <w:rFonts w:ascii="Book Antiqua" w:hAnsi="Book Antiqua"/>
          <w:szCs w:val="22"/>
        </w:rPr>
        <w:t xml:space="preserve">odice della strada, chiarisce che “Per quanto riguarda invece il rispetto dei vincoli di destinazione previsti dalla legislazione vigente, la somma da destinare è rappresentata, in sede di previsione iniziale, dal totale entrate da sanzioni, dedotto il fondo crediti di dubbia esigibilità previsto e le spese previste per compenso al concessionario. Su tale differenza deve essere conteggiata la quota del 50% prevista dall'art. 208 del </w:t>
      </w:r>
      <w:r w:rsidR="00A96E87">
        <w:rPr>
          <w:rFonts w:ascii="Book Antiqua" w:hAnsi="Book Antiqua"/>
          <w:szCs w:val="22"/>
        </w:rPr>
        <w:t>c</w:t>
      </w:r>
      <w:r w:rsidRPr="00206153">
        <w:rPr>
          <w:rFonts w:ascii="Book Antiqua" w:hAnsi="Book Antiqua"/>
          <w:szCs w:val="22"/>
        </w:rPr>
        <w:t xml:space="preserve">odice della </w:t>
      </w:r>
      <w:r w:rsidR="00A96E87">
        <w:rPr>
          <w:rFonts w:ascii="Book Antiqua" w:hAnsi="Book Antiqua"/>
          <w:szCs w:val="22"/>
        </w:rPr>
        <w:t>s</w:t>
      </w:r>
      <w:r w:rsidRPr="00206153">
        <w:rPr>
          <w:rFonts w:ascii="Book Antiqua" w:hAnsi="Book Antiqua"/>
          <w:szCs w:val="22"/>
        </w:rPr>
        <w:t xml:space="preserve">trada”. </w:t>
      </w:r>
    </w:p>
    <w:p w14:paraId="0FBBA8AD" w14:textId="0B9A442F"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 xml:space="preserve">La Sezione remittente osserva, al riguardo, che il legislatore, in deroga al principio contabile generale n. 2 dell'unità del bilancio, ha introdotto un vincolo di specifica destinazione, al fine di correlare parte delle somme previste ed introitate ad interventi di miglioramento della circolazione stradale e stabilisce, in ossequio ai principi generali dettati in materia di entrate, che nel rispetto del principio contabile generale n. 9 della prudenza, il principio applicato della contabilità finanziaria n. 3.3 prevede che le entrate di dubbia e difficile esazione, per le quali non è certa la riscossione integrale, sono accertate per l'intero importo del credito (ad es. le sanzioni amministrative al </w:t>
      </w:r>
      <w:r w:rsidR="00A96E87">
        <w:rPr>
          <w:rFonts w:ascii="Book Antiqua" w:hAnsi="Book Antiqua"/>
          <w:szCs w:val="22"/>
        </w:rPr>
        <w:t>c</w:t>
      </w:r>
      <w:r w:rsidRPr="00206153">
        <w:rPr>
          <w:rFonts w:ascii="Book Antiqua" w:hAnsi="Book Antiqua"/>
          <w:szCs w:val="22"/>
        </w:rPr>
        <w:t>odice della strada, gli oneri di urbanizzazione, i proventi derivanti dalla lotta all'evasione, ecc.). Pertanto, per tali entrate</w:t>
      </w:r>
      <w:r w:rsidR="00CC250B">
        <w:rPr>
          <w:rFonts w:ascii="Book Antiqua" w:hAnsi="Book Antiqua"/>
          <w:szCs w:val="22"/>
        </w:rPr>
        <w:t xml:space="preserve"> è escluso il cd. “accertamento </w:t>
      </w:r>
      <w:r w:rsidRPr="00206153">
        <w:rPr>
          <w:rFonts w:ascii="Book Antiqua" w:hAnsi="Book Antiqua"/>
          <w:szCs w:val="22"/>
        </w:rPr>
        <w:t>per cassa” ed è obbligatorio effettuare un accantonamento al fondo crediti di dubbia esigibilità, vincolando una quota dell'avanzo di amministrazione.</w:t>
      </w:r>
    </w:p>
    <w:p w14:paraId="2D42A9E6" w14:textId="77777777"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Ne consegue che l’esplicita previsione della deducibilità (soltanto) del FCDE e dei compensi all’eventuale concessionario sembrerebbe non consentire l’ulteriore facoltà di detrazione, prima del doveroso riparto delle risorse in esame, degli oneri amministrativi interni sostenuti dal Comune.</w:t>
      </w:r>
    </w:p>
    <w:p w14:paraId="717CA71B" w14:textId="77777777" w:rsidR="00206153" w:rsidRPr="00206153" w:rsidRDefault="00206153" w:rsidP="00206153">
      <w:pPr>
        <w:spacing w:line="276" w:lineRule="auto"/>
        <w:ind w:firstLine="0"/>
        <w:jc w:val="both"/>
        <w:rPr>
          <w:rFonts w:ascii="Book Antiqua" w:hAnsi="Book Antiqua"/>
          <w:szCs w:val="22"/>
        </w:rPr>
      </w:pPr>
      <w:r w:rsidRPr="00206153">
        <w:rPr>
          <w:rFonts w:ascii="Book Antiqua" w:hAnsi="Book Antiqua"/>
          <w:szCs w:val="22"/>
        </w:rPr>
        <w:t xml:space="preserve">Quest’ultima lettura della norma tuttavia, ad avviso della Sezione remittente, “sconterebbe l’effetto, indesiderabile nella logica di contenimento della spesa pubblica che informa l’attuale sistema giuridico, di portare i Comuni a dover prediligere l’integrale esternalizzazione del servizio di accertamento e riscossione delle sanzioni in parola, i cui oneri, come sopra riportato, possono essere detratti dall’ammontare delle somme da </w:t>
      </w:r>
      <w:r w:rsidRPr="00206153">
        <w:rPr>
          <w:rFonts w:ascii="Book Antiqua" w:hAnsi="Book Antiqua"/>
          <w:szCs w:val="22"/>
        </w:rPr>
        <w:lastRenderedPageBreak/>
        <w:t>ripartire secondo quanto previsto dalle regole contabili vigenti, rispetto all’espletamento della funzione con mezzi propri”.</w:t>
      </w:r>
    </w:p>
    <w:p w14:paraId="6AE9CB7B" w14:textId="590D592D" w:rsidR="00D1684D" w:rsidRPr="009E39B0" w:rsidRDefault="00206153" w:rsidP="000300BD">
      <w:pPr>
        <w:spacing w:after="120" w:line="276" w:lineRule="auto"/>
        <w:ind w:firstLine="0"/>
        <w:jc w:val="both"/>
        <w:rPr>
          <w:rFonts w:ascii="Book Antiqua" w:hAnsi="Book Antiqua"/>
          <w:szCs w:val="22"/>
        </w:rPr>
      </w:pPr>
      <w:r w:rsidRPr="00206153">
        <w:rPr>
          <w:rFonts w:ascii="Book Antiqua" w:hAnsi="Book Antiqua"/>
          <w:szCs w:val="22"/>
        </w:rPr>
        <w:t xml:space="preserve">Alla luce della pluralità, e possibile divergenza, degli elementi interpretativi esposti, la Sezione </w:t>
      </w:r>
      <w:r w:rsidR="00A96E87">
        <w:rPr>
          <w:rFonts w:ascii="Book Antiqua" w:hAnsi="Book Antiqua"/>
          <w:szCs w:val="22"/>
        </w:rPr>
        <w:t xml:space="preserve">regionale </w:t>
      </w:r>
      <w:r w:rsidRPr="00206153">
        <w:rPr>
          <w:rFonts w:ascii="Book Antiqua" w:hAnsi="Book Antiqua"/>
          <w:szCs w:val="22"/>
        </w:rPr>
        <w:t>di controllo per il Veneto ha chiesto il deferimento della seguente questione di massima: “se, ai fini della corretta quantificazione della quota del 50% dei proventi derivanti dall’accertamento delle violazioni dei limiti massimi di velocità secondo le previsioni di cui all’art. 142, comma 12-</w:t>
      </w:r>
      <w:r w:rsidRPr="00A96E87">
        <w:rPr>
          <w:rFonts w:ascii="Book Antiqua" w:hAnsi="Book Antiqua"/>
          <w:i/>
          <w:szCs w:val="22"/>
        </w:rPr>
        <w:t>bis</w:t>
      </w:r>
      <w:r w:rsidRPr="00206153">
        <w:rPr>
          <w:rFonts w:ascii="Book Antiqua" w:hAnsi="Book Antiqua"/>
          <w:szCs w:val="22"/>
        </w:rPr>
        <w:t xml:space="preserve">, del </w:t>
      </w:r>
      <w:r w:rsidR="00A96E87">
        <w:rPr>
          <w:rFonts w:ascii="Book Antiqua" w:hAnsi="Book Antiqua"/>
          <w:szCs w:val="22"/>
        </w:rPr>
        <w:t>d</w:t>
      </w:r>
      <w:r w:rsidRPr="00206153">
        <w:rPr>
          <w:rFonts w:ascii="Book Antiqua" w:hAnsi="Book Antiqua"/>
          <w:szCs w:val="22"/>
        </w:rPr>
        <w:t>.</w:t>
      </w:r>
      <w:r w:rsidR="00A96E87">
        <w:rPr>
          <w:rFonts w:ascii="Book Antiqua" w:hAnsi="Book Antiqua"/>
          <w:szCs w:val="22"/>
        </w:rPr>
        <w:t>l</w:t>
      </w:r>
      <w:r w:rsidRPr="00206153">
        <w:rPr>
          <w:rFonts w:ascii="Book Antiqua" w:hAnsi="Book Antiqua"/>
          <w:szCs w:val="22"/>
        </w:rPr>
        <w:t xml:space="preserve">gs. </w:t>
      </w:r>
      <w:r w:rsidR="00A96E87">
        <w:rPr>
          <w:rFonts w:ascii="Book Antiqua" w:hAnsi="Book Antiqua"/>
          <w:szCs w:val="22"/>
        </w:rPr>
        <w:t xml:space="preserve">n. </w:t>
      </w:r>
      <w:r w:rsidRPr="00206153">
        <w:rPr>
          <w:rFonts w:ascii="Book Antiqua" w:hAnsi="Book Antiqua"/>
          <w:szCs w:val="22"/>
        </w:rPr>
        <w:t>285/1992, da versare a favore dell’ente proprietario della strada, sia corretto detrarre da tale quota, oltre alle spese connesse al rilevamento, all’accertamento e alla notifica della violazione, ed a quelle successive relative alla riscossione della sanzione, anche quelle relative alle spese del personale impiegato nella specifica attività di controllo e di accertamento delle violazioni, comprese le attività svolte dal personale amministrativo interno”.</w:t>
      </w:r>
    </w:p>
    <w:p w14:paraId="7553B0B7" w14:textId="7A94A7AE" w:rsidR="000D5013" w:rsidRPr="009E39B0" w:rsidRDefault="000D5013" w:rsidP="00372507">
      <w:pPr>
        <w:shd w:val="clear" w:color="auto" w:fill="FFFFFF"/>
        <w:spacing w:before="240" w:after="240" w:line="340" w:lineRule="exact"/>
        <w:ind w:firstLine="0"/>
        <w:jc w:val="center"/>
        <w:rPr>
          <w:rFonts w:ascii="Book Antiqua" w:hAnsi="Book Antiqua"/>
          <w:b/>
          <w:szCs w:val="22"/>
        </w:rPr>
      </w:pPr>
      <w:r w:rsidRPr="009E39B0">
        <w:rPr>
          <w:rFonts w:ascii="Book Antiqua" w:hAnsi="Book Antiqua"/>
          <w:b/>
          <w:szCs w:val="22"/>
        </w:rPr>
        <w:t>CONSIDERATO</w:t>
      </w:r>
    </w:p>
    <w:p w14:paraId="199F7533" w14:textId="77777777" w:rsid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1. In via preliminare, occorre richiamare </w:t>
      </w:r>
      <w:r w:rsidRPr="00CC250B">
        <w:rPr>
          <w:rFonts w:ascii="Book Antiqua" w:hAnsi="Book Antiqua"/>
          <w:bCs/>
          <w:szCs w:val="22"/>
        </w:rPr>
        <w:t>il quadro normativo</w:t>
      </w:r>
      <w:r w:rsidRPr="00CC250B">
        <w:rPr>
          <w:rFonts w:ascii="Book Antiqua" w:hAnsi="Book Antiqua"/>
          <w:b/>
          <w:bCs/>
          <w:szCs w:val="22"/>
        </w:rPr>
        <w:t xml:space="preserve"> </w:t>
      </w:r>
      <w:r w:rsidRPr="00CC250B">
        <w:rPr>
          <w:rFonts w:ascii="Book Antiqua" w:hAnsi="Book Antiqua"/>
          <w:szCs w:val="22"/>
        </w:rPr>
        <w:t xml:space="preserve">rilevante ai fini della soluzione della questione proposta. </w:t>
      </w:r>
    </w:p>
    <w:p w14:paraId="253C57C4" w14:textId="1EC95AE2" w:rsid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L’art. 142 del </w:t>
      </w:r>
      <w:r w:rsidR="00A96E87">
        <w:rPr>
          <w:rFonts w:ascii="Book Antiqua" w:hAnsi="Book Antiqua"/>
          <w:szCs w:val="22"/>
        </w:rPr>
        <w:t>d</w:t>
      </w:r>
      <w:r w:rsidRPr="00CC250B">
        <w:rPr>
          <w:rFonts w:ascii="Book Antiqua" w:hAnsi="Book Antiqua"/>
          <w:szCs w:val="22"/>
        </w:rPr>
        <w:t>.lgs. 30 Aprile 1992, n. 285  (“</w:t>
      </w:r>
      <w:r w:rsidR="00A96E87">
        <w:rPr>
          <w:rFonts w:ascii="Book Antiqua" w:hAnsi="Book Antiqua"/>
          <w:szCs w:val="22"/>
        </w:rPr>
        <w:t>c</w:t>
      </w:r>
      <w:r w:rsidRPr="00CC250B">
        <w:rPr>
          <w:rFonts w:ascii="Book Antiqua" w:hAnsi="Book Antiqua"/>
          <w:szCs w:val="22"/>
        </w:rPr>
        <w:t>odice della strada”)</w:t>
      </w:r>
      <w:r>
        <w:rPr>
          <w:rFonts w:ascii="Book Antiqua" w:hAnsi="Book Antiqua"/>
          <w:szCs w:val="22"/>
        </w:rPr>
        <w:t>,</w:t>
      </w:r>
      <w:r w:rsidRPr="00CC250B">
        <w:rPr>
          <w:rFonts w:ascii="Book Antiqua" w:hAnsi="Book Antiqua"/>
          <w:szCs w:val="22"/>
        </w:rPr>
        <w:t xml:space="preserve"> dopo aver previsto i limiti massimi di velocità e le relative sanzioni nei commi da 1 a 12, stabilisce che i proventi delle sanzioni derivanti dall'accertamento delle violazioni dei limiti massimi di velocità sono attribuiti, in misura pari al 50 per cento ciascuno, all'ente proprietario della strada su cui è stato effettuato l'accertamento (o agli enti che esercitano le relative funzioni ai sensi dell'articolo 39 del decreto del Presidente della Repubblica 22 marzo 1974, n. 381) e all'ente da cui dipende l'organo accertatore, alle condizioni e nei limiti di cui ai commi 12-</w:t>
      </w:r>
      <w:r w:rsidRPr="00A6023A">
        <w:rPr>
          <w:rFonts w:ascii="Book Antiqua" w:hAnsi="Book Antiqua"/>
          <w:i/>
          <w:szCs w:val="22"/>
        </w:rPr>
        <w:t>ter</w:t>
      </w:r>
      <w:r w:rsidRPr="00CC250B">
        <w:rPr>
          <w:rFonts w:ascii="Book Antiqua" w:hAnsi="Book Antiqua"/>
          <w:szCs w:val="22"/>
        </w:rPr>
        <w:t xml:space="preserve"> e 12-</w:t>
      </w:r>
      <w:r w:rsidRPr="00A6023A">
        <w:rPr>
          <w:rFonts w:ascii="Book Antiqua" w:hAnsi="Book Antiqua"/>
          <w:i/>
          <w:szCs w:val="22"/>
        </w:rPr>
        <w:t>quater</w:t>
      </w:r>
      <w:r w:rsidRPr="00CC250B">
        <w:rPr>
          <w:rFonts w:ascii="Book Antiqua" w:hAnsi="Book Antiqua"/>
          <w:szCs w:val="22"/>
        </w:rPr>
        <w:t xml:space="preserve"> del</w:t>
      </w:r>
      <w:r>
        <w:rPr>
          <w:rFonts w:ascii="Book Antiqua" w:hAnsi="Book Antiqua"/>
          <w:szCs w:val="22"/>
        </w:rPr>
        <w:t xml:space="preserve"> medesimo articolo. Il</w:t>
      </w:r>
      <w:r w:rsidRPr="00CC250B">
        <w:rPr>
          <w:rFonts w:ascii="Book Antiqua" w:hAnsi="Book Antiqua"/>
          <w:szCs w:val="22"/>
        </w:rPr>
        <w:t xml:space="preserve"> comma 12-</w:t>
      </w:r>
      <w:r w:rsidRPr="00A6023A">
        <w:rPr>
          <w:rFonts w:ascii="Book Antiqua" w:hAnsi="Book Antiqua"/>
          <w:i/>
          <w:szCs w:val="22"/>
        </w:rPr>
        <w:t>ter</w:t>
      </w:r>
      <w:r>
        <w:rPr>
          <w:rFonts w:ascii="Book Antiqua" w:hAnsi="Book Antiqua"/>
          <w:szCs w:val="22"/>
        </w:rPr>
        <w:t>, in particolare,</w:t>
      </w:r>
      <w:r w:rsidRPr="00CC250B">
        <w:rPr>
          <w:rFonts w:ascii="Book Antiqua" w:hAnsi="Book Antiqua"/>
          <w:szCs w:val="22"/>
        </w:rPr>
        <w:t xml:space="preserve"> prevede che “gli enti di cui al comma 12-</w:t>
      </w:r>
      <w:r w:rsidRPr="00A6023A">
        <w:rPr>
          <w:rFonts w:ascii="Book Antiqua" w:hAnsi="Book Antiqua"/>
          <w:i/>
          <w:szCs w:val="22"/>
        </w:rPr>
        <w:t>bis</w:t>
      </w:r>
      <w:r w:rsidRPr="00CC250B">
        <w:rPr>
          <w:rFonts w:ascii="Book Antiqua" w:hAnsi="Book Antiqua"/>
          <w:szCs w:val="22"/>
        </w:rPr>
        <w:t xml:space="preserve"> destinano le somme derivanti dall'attribuzione delle quote dei proventi delle sanzioni amministrative pecuniarie di cui al medesimo comma alla realizzazione di interventi di manutenzione e messa in sicurezza delle infrastrutture stradali, ivi comprese la segnaletica e le barriere, e dei relativi impianti, nonché al potenziamento delle attività di controllo e di accertamento delle violazioni in materia di circolazione stradale, ivi comprese le spese relative al personale, nel rispetto della normativa vigente relativa al contenimento delle spese in materia di pubblico impiego e al patto di stabilità interno”. Il comma 12-</w:t>
      </w:r>
      <w:r w:rsidRPr="00A96E87">
        <w:rPr>
          <w:rFonts w:ascii="Book Antiqua" w:hAnsi="Book Antiqua"/>
          <w:i/>
          <w:szCs w:val="22"/>
        </w:rPr>
        <w:t>quater</w:t>
      </w:r>
      <w:r>
        <w:rPr>
          <w:rFonts w:ascii="Book Antiqua" w:hAnsi="Book Antiqua"/>
          <w:szCs w:val="22"/>
        </w:rPr>
        <w:t xml:space="preserve"> specifica</w:t>
      </w:r>
      <w:r w:rsidRPr="00CC250B">
        <w:rPr>
          <w:rFonts w:ascii="Book Antiqua" w:hAnsi="Book Antiqua"/>
          <w:szCs w:val="22"/>
        </w:rPr>
        <w:t xml:space="preserve"> che “ciascun ente locale trasmette in via informatica al Ministero delle infrastrutture e dei trasporti ed al Ministero dell'interno, entro il 31 maggio di ogni anno, una relazione in cui sono indicati, con riferimento all'anno precedente, l'ammontare complessivo dei proventi di propria spettanza di cui al comma 1 dell’art. 208 e al comma 12-</w:t>
      </w:r>
      <w:r w:rsidRPr="00A96E87">
        <w:rPr>
          <w:rFonts w:ascii="Book Antiqua" w:hAnsi="Book Antiqua"/>
          <w:i/>
          <w:szCs w:val="22"/>
        </w:rPr>
        <w:t>bis</w:t>
      </w:r>
      <w:r w:rsidRPr="00CC250B">
        <w:rPr>
          <w:rFonts w:ascii="Book Antiqua" w:hAnsi="Book Antiqua"/>
          <w:szCs w:val="22"/>
        </w:rPr>
        <w:t xml:space="preserve"> del presente articolo, come risultante da rendiconto approvato nel medesimo anno, e gli interventi realizzati a valere su tali risorse, con la specificazione degli oneri sostenuti per ciascun intervento. La percentuale dei proventi spettanti ai sensi del comma 12-</w:t>
      </w:r>
      <w:r w:rsidRPr="00A96E87">
        <w:rPr>
          <w:rFonts w:ascii="Book Antiqua" w:hAnsi="Book Antiqua"/>
          <w:i/>
          <w:szCs w:val="22"/>
        </w:rPr>
        <w:t>bis</w:t>
      </w:r>
      <w:r w:rsidRPr="00CC250B">
        <w:rPr>
          <w:rFonts w:ascii="Book Antiqua" w:hAnsi="Book Antiqua"/>
          <w:szCs w:val="22"/>
        </w:rPr>
        <w:t xml:space="preserve"> è ridotta del 90 per cento annuo nei confronti dell'ente che non trasmetta la relazione di cui al periodo precedente, ovvero che utilizzi i proventi di cui al primo periodo in modo difforme da </w:t>
      </w:r>
      <w:r w:rsidRPr="00CC250B">
        <w:rPr>
          <w:rFonts w:ascii="Book Antiqua" w:hAnsi="Book Antiqua"/>
          <w:szCs w:val="22"/>
        </w:rPr>
        <w:lastRenderedPageBreak/>
        <w:t>quanto previsto dal comma 4 dell'art. 208 e dal comma 12-</w:t>
      </w:r>
      <w:r w:rsidRPr="00A96E87">
        <w:rPr>
          <w:rFonts w:ascii="Book Antiqua" w:hAnsi="Book Antiqua"/>
          <w:i/>
          <w:szCs w:val="22"/>
        </w:rPr>
        <w:t>ter</w:t>
      </w:r>
      <w:r w:rsidRPr="00CC250B">
        <w:rPr>
          <w:rFonts w:ascii="Book Antiqua" w:hAnsi="Book Antiqua"/>
          <w:szCs w:val="22"/>
        </w:rPr>
        <w:t xml:space="preserve"> del presente articolo, per ciascun anno per il quale sia riscontrata una delle predette inadempienze. Le inadempienze di cui al periodo precedente rilevano ai fini della responsabilità disciplinare e per danno erariale e devono essere segnalate tempestivamente al procuratore regionale della Corte dei conti”. </w:t>
      </w:r>
      <w:r>
        <w:rPr>
          <w:rFonts w:ascii="Book Antiqua" w:hAnsi="Book Antiqua"/>
          <w:szCs w:val="22"/>
        </w:rPr>
        <w:t>Va ricordato, inoltre, che l</w:t>
      </w:r>
      <w:r w:rsidRPr="00CC250B">
        <w:rPr>
          <w:rFonts w:ascii="Book Antiqua" w:hAnsi="Book Antiqua"/>
          <w:szCs w:val="22"/>
        </w:rPr>
        <w:t>’art 208 del citato decreto legislativo, a seguito della modifica intervenuta con</w:t>
      </w:r>
      <w:r w:rsidRPr="00CC250B">
        <w:rPr>
          <w:rFonts w:ascii="Book Antiqua" w:hAnsi="Book Antiqua"/>
          <w:i/>
          <w:szCs w:val="22"/>
        </w:rPr>
        <w:t xml:space="preserve"> </w:t>
      </w:r>
      <w:r w:rsidRPr="00CC250B">
        <w:rPr>
          <w:rFonts w:ascii="Book Antiqua" w:hAnsi="Book Antiqua"/>
          <w:iCs/>
          <w:szCs w:val="22"/>
        </w:rPr>
        <w:t>la legge 29 luglio 2010, n. 120</w:t>
      </w:r>
      <w:r w:rsidRPr="00CC250B">
        <w:rPr>
          <w:rFonts w:ascii="Book Antiqua" w:hAnsi="Book Antiqua"/>
          <w:i/>
          <w:szCs w:val="22"/>
        </w:rPr>
        <w:t xml:space="preserve"> ("</w:t>
      </w:r>
      <w:r w:rsidRPr="00CC250B">
        <w:rPr>
          <w:rFonts w:ascii="Book Antiqua" w:hAnsi="Book Antiqua"/>
          <w:i/>
          <w:iCs/>
          <w:szCs w:val="22"/>
        </w:rPr>
        <w:t>Disposizioni in materia di sicurezza stradale</w:t>
      </w:r>
      <w:r w:rsidRPr="00CC250B">
        <w:rPr>
          <w:rFonts w:ascii="Book Antiqua" w:hAnsi="Book Antiqua"/>
          <w:i/>
          <w:szCs w:val="22"/>
        </w:rPr>
        <w:t xml:space="preserve">"), </w:t>
      </w:r>
      <w:r w:rsidRPr="00CC250B">
        <w:rPr>
          <w:rFonts w:ascii="Book Antiqua" w:hAnsi="Book Antiqua"/>
          <w:szCs w:val="22"/>
        </w:rPr>
        <w:t>stabilisce che i proventi dei provvedimenti sanzionatori stradali accertati da funzionari, ufficiali ed agenti dei Comuni (comma 1), sono soggetti ad un ulteriore vincolo di destinazione relativo alla metà dell’importo iscritto a bilancio dell’ente. Di tale importo dimezzato, il comma 4 prescrive che almeno il 25% sia destinato a interventi di sostituzione, ammodernamento, potenziamento, messa a norma e manutenzione della segnaletica delle strade di proprietà dell'ente; almeno un ulteriore 25% sia destinato al potenziamento delle attività di controllo e di accertamento delle violazioni in materia di circolazione stradale, anche attraverso l'acquisto di automezzi, mezzi e attrezzature dei Corpi e dei servizi di polizia provinciale/municipale, mentre la restante quota vada a finanziare le altre finalità, indicate dalla lettera c) del medesimo comma, connesse al miglioramento della sicurezza stradale.</w:t>
      </w:r>
    </w:p>
    <w:p w14:paraId="4E090912" w14:textId="625905AE"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2. La norma di cui al soprarichiamato art. 142 introduce, rispetto al vincolo</w:t>
      </w:r>
      <w:r>
        <w:rPr>
          <w:rFonts w:ascii="Book Antiqua" w:hAnsi="Book Antiqua"/>
          <w:szCs w:val="22"/>
        </w:rPr>
        <w:t xml:space="preserve"> di destinazione </w:t>
      </w:r>
      <w:r w:rsidRPr="00CC250B">
        <w:rPr>
          <w:rFonts w:ascii="Book Antiqua" w:hAnsi="Book Antiqua"/>
          <w:i/>
          <w:szCs w:val="22"/>
        </w:rPr>
        <w:t xml:space="preserve">ex </w:t>
      </w:r>
      <w:r w:rsidRPr="00CC250B">
        <w:rPr>
          <w:rFonts w:ascii="Book Antiqua" w:hAnsi="Book Antiqua"/>
          <w:szCs w:val="22"/>
        </w:rPr>
        <w:t>a</w:t>
      </w:r>
      <w:r>
        <w:rPr>
          <w:rFonts w:ascii="Book Antiqua" w:hAnsi="Book Antiqua"/>
          <w:szCs w:val="22"/>
        </w:rPr>
        <w:t xml:space="preserve">rt. 208 del </w:t>
      </w:r>
      <w:r w:rsidR="00A96E87">
        <w:rPr>
          <w:rFonts w:ascii="Book Antiqua" w:hAnsi="Book Antiqua"/>
          <w:szCs w:val="22"/>
        </w:rPr>
        <w:t>c</w:t>
      </w:r>
      <w:r w:rsidRPr="00CC250B">
        <w:rPr>
          <w:rFonts w:ascii="Book Antiqua" w:hAnsi="Book Antiqua"/>
          <w:szCs w:val="22"/>
        </w:rPr>
        <w:t>odice della strada che riguarda tutti i provvedimenti sanzionatori stradali, un criterio speciale</w:t>
      </w:r>
      <w:r>
        <w:rPr>
          <w:rFonts w:ascii="Book Antiqua" w:hAnsi="Book Antiqua"/>
          <w:szCs w:val="22"/>
        </w:rPr>
        <w:t xml:space="preserve"> (in senso conforme:</w:t>
      </w:r>
      <w:r w:rsidRPr="00CC250B">
        <w:rPr>
          <w:rFonts w:ascii="Book Antiqua" w:hAnsi="Book Antiqua"/>
          <w:szCs w:val="22"/>
        </w:rPr>
        <w:t xml:space="preserve"> Sez. contr. Molise n. 96/2014/PAR) di attribuzione e riparto dei proventi da sanzioni amministrative che si fonda, per un verso,  sulle specifiche violazioni ivi contemplate (superamento dei limiti massimi di velocità) e, per altro verso, sulle peculiare modalità di accertamento (attraverso l'impiego di apparecchi o di sistemi di rilevamento della velocità ovvero attraverso l'utilizzazione di dispositivi o di mezzi tecnici di controllo a distanza delle violazioni ai sensi dell'articolo 4 del decreto-legge 20 giugno 2002, n. 121). Tale criterio sancisce, diversamente dal precitato art. 208, una doppia titolarità di attribuzione dei proventi indicati che contempla non più il solo ente di appartenenza dell’organo accertatore, ma anche l’ente proprietario della strada sulla quale è stata rilevata la contravvenzione per superamento dei limiti massimi di velocità. La </w:t>
      </w:r>
      <w:r w:rsidRPr="00CC250B">
        <w:rPr>
          <w:rFonts w:ascii="Book Antiqua" w:hAnsi="Book Antiqua"/>
          <w:i/>
          <w:szCs w:val="22"/>
        </w:rPr>
        <w:t xml:space="preserve">ratio </w:t>
      </w:r>
      <w:r w:rsidRPr="00CC250B">
        <w:rPr>
          <w:rFonts w:ascii="Book Antiqua" w:hAnsi="Book Antiqua"/>
          <w:szCs w:val="22"/>
        </w:rPr>
        <w:t>di entrambi i vincoli di destinazione posti dalle due norme è la medesima: individuare risorse per potenziare i servizi di sicurezza della circolazione stradale e della tutela delle connesse esigenze di incolumità pubblica, adottando tutte le misure idonee a tale scopo. In sostanza</w:t>
      </w:r>
      <w:r w:rsidR="004D4ED8">
        <w:rPr>
          <w:rFonts w:ascii="Book Antiqua" w:hAnsi="Book Antiqua"/>
          <w:szCs w:val="22"/>
        </w:rPr>
        <w:t>,</w:t>
      </w:r>
      <w:r w:rsidRPr="00CC250B">
        <w:rPr>
          <w:rFonts w:ascii="Book Antiqua" w:hAnsi="Book Antiqua"/>
          <w:szCs w:val="22"/>
        </w:rPr>
        <w:t xml:space="preserve"> l’elencazione delle spese cui possono essere destin</w:t>
      </w:r>
      <w:r w:rsidR="004D4ED8">
        <w:rPr>
          <w:rFonts w:ascii="Book Antiqua" w:hAnsi="Book Antiqua"/>
          <w:szCs w:val="22"/>
        </w:rPr>
        <w:t>ate le risorse di cui si scrive</w:t>
      </w:r>
      <w:r w:rsidRPr="00CC250B">
        <w:rPr>
          <w:rFonts w:ascii="Book Antiqua" w:hAnsi="Book Antiqua"/>
          <w:szCs w:val="22"/>
        </w:rPr>
        <w:t xml:space="preserve"> rappresenta una cautela posta a tutela della corretta costruzione degli equilibri di bilancio in funzione di un’adeguata soddisfazione di rilevanti interessi pubblici che si riconnettono alla </w:t>
      </w:r>
      <w:r w:rsidRPr="00CC250B">
        <w:rPr>
          <w:rFonts w:ascii="Book Antiqua" w:hAnsi="Book Antiqua"/>
          <w:i/>
          <w:szCs w:val="22"/>
        </w:rPr>
        <w:t>missione 03</w:t>
      </w:r>
      <w:r w:rsidRPr="00CC250B">
        <w:rPr>
          <w:rFonts w:ascii="Book Antiqua" w:hAnsi="Book Antiqua"/>
          <w:szCs w:val="22"/>
        </w:rPr>
        <w:t xml:space="preserve"> del bilancio (“Ordine pubblico e sicurezza”).</w:t>
      </w:r>
    </w:p>
    <w:p w14:paraId="4BADC95C" w14:textId="0250744E" w:rsidR="00CC250B" w:rsidRPr="00A96E87"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3. Precisato quanto sopra sul piano dei principi e delle finalità sottese alle norme esaminate, va ora soffermata l’attenzione sui profili sostanziali della questione che attengono alla (presunta) facoltà di detrazione delle spese indicate prima di procedere al riparto dei proventi secondo le quote prescritte</w:t>
      </w:r>
      <w:r w:rsidRPr="00A96E87">
        <w:rPr>
          <w:rFonts w:ascii="Book Antiqua" w:hAnsi="Book Antiqua"/>
          <w:szCs w:val="22"/>
        </w:rPr>
        <w:t xml:space="preserve">. </w:t>
      </w:r>
      <w:r w:rsidR="008132BC" w:rsidRPr="00A96E87">
        <w:rPr>
          <w:rFonts w:ascii="Book Antiqua" w:hAnsi="Book Antiqua"/>
          <w:szCs w:val="22"/>
        </w:rPr>
        <w:t xml:space="preserve">Ciò è necessario in quanto il Comune che ha posto il quesito specifico inteso a conoscere se </w:t>
      </w:r>
      <w:r w:rsidR="006E193E" w:rsidRPr="00A96E87">
        <w:rPr>
          <w:rFonts w:ascii="Book Antiqua" w:hAnsi="Book Antiqua"/>
          <w:szCs w:val="22"/>
        </w:rPr>
        <w:t xml:space="preserve">dai proventi delle sanzioni, prima del riparto, sia </w:t>
      </w:r>
      <w:r w:rsidR="006E193E" w:rsidRPr="00A96E87">
        <w:rPr>
          <w:rFonts w:ascii="Book Antiqua" w:hAnsi="Book Antiqua"/>
          <w:szCs w:val="22"/>
        </w:rPr>
        <w:lastRenderedPageBreak/>
        <w:t>possibile detrarre anche le spese del personale impiegato nella specifica attività di controllo e di accertamento delle violazioni, comprese le attività svolte dal personale amministrativo interno, dà per acquisita, richiamandosi ad un certo orientamento giurisprudenziale,  la possibilità di detrarre le spese connesse al rilevamento, all’accertamento e alla notifica della violazione, ed a quelle successive relative alla riscossione della sanzione.</w:t>
      </w:r>
    </w:p>
    <w:p w14:paraId="6512B5BF" w14:textId="459EBF20" w:rsidR="00CC250B" w:rsidRPr="00CC250B" w:rsidRDefault="00CC250B" w:rsidP="00CC250B">
      <w:pPr>
        <w:shd w:val="clear" w:color="auto" w:fill="FFFFFF"/>
        <w:spacing w:line="340" w:lineRule="exact"/>
        <w:ind w:firstLine="0"/>
        <w:jc w:val="both"/>
        <w:rPr>
          <w:rFonts w:ascii="Book Antiqua" w:hAnsi="Book Antiqua"/>
          <w:szCs w:val="22"/>
        </w:rPr>
      </w:pPr>
      <w:r w:rsidRPr="00A96E87">
        <w:rPr>
          <w:rFonts w:ascii="Book Antiqua" w:hAnsi="Book Antiqua"/>
          <w:szCs w:val="22"/>
        </w:rPr>
        <w:t>Al riguardo, con riferimento alla possibilità di scorporo della spesa</w:t>
      </w:r>
      <w:r w:rsidRPr="00CC250B">
        <w:rPr>
          <w:rFonts w:ascii="Book Antiqua" w:hAnsi="Book Antiqua"/>
          <w:szCs w:val="22"/>
        </w:rPr>
        <w:t xml:space="preserve"> per il personale impiegato nel servizio, </w:t>
      </w:r>
      <w:r w:rsidR="004D4ED8">
        <w:rPr>
          <w:rFonts w:ascii="Book Antiqua" w:hAnsi="Book Antiqua"/>
          <w:szCs w:val="22"/>
        </w:rPr>
        <w:t xml:space="preserve">va evidenziato che la </w:t>
      </w:r>
      <w:proofErr w:type="spellStart"/>
      <w:r w:rsidR="004D4ED8">
        <w:rPr>
          <w:rFonts w:ascii="Book Antiqua" w:hAnsi="Book Antiqua"/>
          <w:szCs w:val="22"/>
        </w:rPr>
        <w:t>sopra</w:t>
      </w:r>
      <w:r w:rsidRPr="00CC250B">
        <w:rPr>
          <w:rFonts w:ascii="Book Antiqua" w:hAnsi="Book Antiqua"/>
          <w:szCs w:val="22"/>
        </w:rPr>
        <w:t>evidenziata</w:t>
      </w:r>
      <w:proofErr w:type="spellEnd"/>
      <w:r w:rsidRPr="00CC250B">
        <w:rPr>
          <w:rFonts w:ascii="Book Antiqua" w:hAnsi="Book Antiqua"/>
          <w:szCs w:val="22"/>
        </w:rPr>
        <w:t xml:space="preserve"> specialità della norma che stabilisce la specifica destinazione dei proventi ne supporta una lettura interpretativa che non può non tener conto del tenore letterale dell’inciso “</w:t>
      </w:r>
      <w:r w:rsidRPr="00CC250B">
        <w:rPr>
          <w:rFonts w:ascii="Book Antiqua" w:hAnsi="Book Antiqua"/>
          <w:i/>
          <w:szCs w:val="22"/>
        </w:rPr>
        <w:t>ivi comprese le spese relative al personale”</w:t>
      </w:r>
      <w:r w:rsidRPr="00CC250B">
        <w:rPr>
          <w:rFonts w:ascii="Book Antiqua" w:hAnsi="Book Antiqua"/>
          <w:szCs w:val="22"/>
        </w:rPr>
        <w:t xml:space="preserve"> contenuto nel comma 12-</w:t>
      </w:r>
      <w:r w:rsidRPr="00A96E87">
        <w:rPr>
          <w:rFonts w:ascii="Book Antiqua" w:hAnsi="Book Antiqua"/>
          <w:i/>
          <w:szCs w:val="22"/>
        </w:rPr>
        <w:t>ter</w:t>
      </w:r>
      <w:r w:rsidRPr="00CC250B">
        <w:rPr>
          <w:rFonts w:ascii="Book Antiqua" w:hAnsi="Book Antiqua"/>
          <w:szCs w:val="22"/>
        </w:rPr>
        <w:t xml:space="preserve">. Questa Sezione ha ripetutamente esposto (si veda deliberazione n. 28/QMIG/2015 e le precedenti ivi richiamate) le ragioni che inducono a privilegiare interpretazioni il più possibile aderenti al tenore letterale delle norme rispetto a soluzioni ermeneutiche additive o derogatorie. </w:t>
      </w:r>
    </w:p>
    <w:p w14:paraId="19D34CBC" w14:textId="1E1F3340" w:rsidR="00CC250B" w:rsidRPr="00CC250B" w:rsidRDefault="004D4ED8" w:rsidP="00CC250B">
      <w:pPr>
        <w:shd w:val="clear" w:color="auto" w:fill="FFFFFF"/>
        <w:spacing w:line="340" w:lineRule="exact"/>
        <w:ind w:firstLine="0"/>
        <w:jc w:val="both"/>
        <w:rPr>
          <w:rFonts w:ascii="Book Antiqua" w:hAnsi="Book Antiqua"/>
          <w:szCs w:val="22"/>
        </w:rPr>
      </w:pPr>
      <w:r>
        <w:rPr>
          <w:rFonts w:ascii="Book Antiqua" w:hAnsi="Book Antiqua"/>
          <w:szCs w:val="22"/>
        </w:rPr>
        <w:t>E, nella stessa ottica</w:t>
      </w:r>
      <w:r w:rsidR="00CC250B" w:rsidRPr="00CC250B">
        <w:rPr>
          <w:rFonts w:ascii="Book Antiqua" w:hAnsi="Book Antiqua"/>
          <w:szCs w:val="22"/>
        </w:rPr>
        <w:t>,</w:t>
      </w:r>
      <w:r>
        <w:rPr>
          <w:rFonts w:ascii="Book Antiqua" w:hAnsi="Book Antiqua"/>
          <w:szCs w:val="22"/>
        </w:rPr>
        <w:t xml:space="preserve"> </w:t>
      </w:r>
      <w:r w:rsidRPr="004D4ED8">
        <w:rPr>
          <w:rFonts w:ascii="Book Antiqua" w:hAnsi="Book Antiqua"/>
          <w:szCs w:val="22"/>
        </w:rPr>
        <w:t>appare</w:t>
      </w:r>
      <w:r>
        <w:rPr>
          <w:rFonts w:ascii="Book Antiqua" w:hAnsi="Book Antiqua"/>
          <w:szCs w:val="22"/>
        </w:rPr>
        <w:t xml:space="preserve"> anche</w:t>
      </w:r>
      <w:r w:rsidRPr="004D4ED8">
        <w:rPr>
          <w:rFonts w:ascii="Book Antiqua" w:hAnsi="Book Antiqua"/>
          <w:szCs w:val="22"/>
        </w:rPr>
        <w:t xml:space="preserve"> opportuno un riesame degli elementi interpretativi portati dalla Sezione remittente al</w:t>
      </w:r>
      <w:r>
        <w:rPr>
          <w:rFonts w:ascii="Book Antiqua" w:hAnsi="Book Antiqua"/>
          <w:szCs w:val="22"/>
        </w:rPr>
        <w:t xml:space="preserve">l’attenzione di questo Collegio </w:t>
      </w:r>
      <w:r w:rsidR="00CC250B" w:rsidRPr="00CC250B">
        <w:rPr>
          <w:rFonts w:ascii="Book Antiqua" w:hAnsi="Book Antiqua"/>
          <w:szCs w:val="22"/>
        </w:rPr>
        <w:t>anche per quanto concerne la detraibilità delle spese connesse al rilevamento, all’accertamento e alla notifica della violazione ed a quelle successive relative alla riscossione della sanzione, ai fini della corretta quantificazione della quota del 50% dei proventi derivanti dall’accertamento delle violazioni dei limiti massimi di velocità rilevati con apparecchi elettronici.</w:t>
      </w:r>
    </w:p>
    <w:p w14:paraId="5A3394CC" w14:textId="69CB98DB"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Ci si riferisce, in particolare, all’orientamento di alcune Sezioni regionali (Sez. contr. Umbria n. 66/2014; Sez. contr. Toscana n. 104/2010), richiamato anche dall’ente richiedente, </w:t>
      </w:r>
      <w:r w:rsidR="004D4ED8">
        <w:rPr>
          <w:rFonts w:ascii="Book Antiqua" w:hAnsi="Book Antiqua"/>
          <w:szCs w:val="22"/>
        </w:rPr>
        <w:t xml:space="preserve">che risulta </w:t>
      </w:r>
      <w:r w:rsidRPr="00CC250B">
        <w:rPr>
          <w:rFonts w:ascii="Book Antiqua" w:hAnsi="Book Antiqua"/>
          <w:szCs w:val="22"/>
        </w:rPr>
        <w:t>esplicitato da ultimo nel parere reso dalla Sezione Emilia–Romagna con deliberazione n. 44/2016/PAR</w:t>
      </w:r>
      <w:r w:rsidR="004D4ED8">
        <w:rPr>
          <w:rFonts w:ascii="Book Antiqua" w:hAnsi="Book Antiqua"/>
          <w:szCs w:val="22"/>
        </w:rPr>
        <w:t xml:space="preserve">. La predetta Sezione regionale, infatti, ha osservato che </w:t>
      </w:r>
      <w:r w:rsidRPr="00CC250B">
        <w:rPr>
          <w:rFonts w:ascii="Book Antiqua" w:hAnsi="Book Antiqua"/>
          <w:szCs w:val="22"/>
        </w:rPr>
        <w:t>“Una interpretazione restrittiva della norma contrasterebbe con le finalità cui la norma stessa è preordinata – di destinazione dei proventi delle sanzioni al miglioramento della viabilità e della circolazione stradale -, nonché con gli obiettivi di contenimento della spesa pubblica… La specifica destinazione attribuita ai proventi, che non ne comprende anche l’utilizzo per spese accessorie connesse a procedimenti di accertamento ed esazione, fa dunque ritenere che questi siano da considerarsi al netto di tali spese e dunque, nella specie, al netto delle spese connesse al rilevamento (spese noleggio autovelox), all’accertamento (</w:t>
      </w:r>
      <w:r w:rsidRPr="00CC250B">
        <w:rPr>
          <w:rFonts w:ascii="Book Antiqua" w:hAnsi="Book Antiqua"/>
          <w:i/>
          <w:szCs w:val="22"/>
        </w:rPr>
        <w:t xml:space="preserve">software </w:t>
      </w:r>
      <w:r w:rsidRPr="00CC250B">
        <w:rPr>
          <w:rFonts w:ascii="Book Antiqua" w:hAnsi="Book Antiqua"/>
          <w:szCs w:val="22"/>
        </w:rPr>
        <w:t xml:space="preserve">e banche dati) e alla notifica della violazione, nonché di quelle successive relative alla riscossione della sanzione”.  </w:t>
      </w:r>
    </w:p>
    <w:p w14:paraId="07E04169" w14:textId="0305EF84" w:rsidR="00CC250B" w:rsidRPr="00CC250B" w:rsidRDefault="004D4ED8" w:rsidP="00CC250B">
      <w:pPr>
        <w:shd w:val="clear" w:color="auto" w:fill="FFFFFF"/>
        <w:spacing w:line="340" w:lineRule="exact"/>
        <w:ind w:firstLine="0"/>
        <w:jc w:val="both"/>
        <w:rPr>
          <w:rFonts w:ascii="Book Antiqua" w:hAnsi="Book Antiqua"/>
          <w:szCs w:val="22"/>
        </w:rPr>
      </w:pPr>
      <w:r>
        <w:rPr>
          <w:rFonts w:ascii="Book Antiqua" w:hAnsi="Book Antiqua"/>
          <w:szCs w:val="22"/>
        </w:rPr>
        <w:t>Orbene, t</w:t>
      </w:r>
      <w:r w:rsidR="00CC250B" w:rsidRPr="00CC250B">
        <w:rPr>
          <w:rFonts w:ascii="Book Antiqua" w:hAnsi="Book Antiqua"/>
          <w:szCs w:val="22"/>
        </w:rPr>
        <w:t>ale orientamento non può ritenersi condivisibile, considerando non solo la volontà espressa del legislatore, ma anche, e propriamente, la finalità della normativa in oggetto.</w:t>
      </w:r>
    </w:p>
    <w:p w14:paraId="413A10D1" w14:textId="71549F5E"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Sotto il primo profilo, rilevano i lavori preparatori della citata legge n. 120/2010 (che ha introdotto il comma 12-</w:t>
      </w:r>
      <w:r w:rsidRPr="00CC250B">
        <w:rPr>
          <w:rFonts w:ascii="Book Antiqua" w:hAnsi="Book Antiqua"/>
          <w:i/>
          <w:szCs w:val="22"/>
        </w:rPr>
        <w:t>bis</w:t>
      </w:r>
      <w:r w:rsidRPr="00CC250B">
        <w:rPr>
          <w:rFonts w:ascii="Book Antiqua" w:hAnsi="Book Antiqua"/>
          <w:szCs w:val="22"/>
        </w:rPr>
        <w:t xml:space="preserve"> all’art. 142 del Codice) il cui testo approvato alla Camera (AA.CC. </w:t>
      </w:r>
      <w:proofErr w:type="spellStart"/>
      <w:r w:rsidRPr="00CC250B">
        <w:rPr>
          <w:rFonts w:ascii="Book Antiqua" w:hAnsi="Book Antiqua"/>
          <w:szCs w:val="22"/>
        </w:rPr>
        <w:t>nn</w:t>
      </w:r>
      <w:proofErr w:type="spellEnd"/>
      <w:r w:rsidRPr="00CC250B">
        <w:rPr>
          <w:rFonts w:ascii="Book Antiqua" w:hAnsi="Book Antiqua"/>
          <w:szCs w:val="22"/>
        </w:rPr>
        <w:t xml:space="preserve">. 44, 419, 471, 649, 772, 844, 965, 1075, 1101, 1190, 1469, 1488, 1717, 1737, 1766, 1998, 2177, 2349) prevedeva che “i proventi delle sanzioni derivanti dall’accertamento delle violazioni dei limiti massimi di velocità stabiliti dal presente articolo attraverso l’impiego di apparecchi o di sistemi di rilevamento della velocità ovvero attraverso l’utilizzazione di dispositivi o di mezzi tecnici di controllo a distanza delle violazioni ai sensi dell’articolo 4 </w:t>
      </w:r>
      <w:r w:rsidRPr="00CC250B">
        <w:rPr>
          <w:rFonts w:ascii="Book Antiqua" w:hAnsi="Book Antiqua"/>
          <w:szCs w:val="22"/>
        </w:rPr>
        <w:lastRenderedPageBreak/>
        <w:t>del decreto-legge 20 giugno 2002, n. 121, convertito, con modificazioni, dalla legge 1º agosto 2002, n. 168, e successive modificazioni, sono attribuiti all’ente proprietario della strada su cui è stato effettuato l’accertamento o agli enti che esercitano le relative funzioni ai sensi dell’articolo 39 del decreto del Presidente della Repubblica 22 marzo 1974, n. 381” e “All’ente</w:t>
      </w:r>
      <w:r w:rsidRPr="00CC250B">
        <w:rPr>
          <w:rFonts w:ascii="Book Antiqua" w:hAnsi="Book Antiqua"/>
          <w:i/>
          <w:szCs w:val="22"/>
        </w:rPr>
        <w:t xml:space="preserve"> </w:t>
      </w:r>
      <w:r w:rsidRPr="00CC250B">
        <w:rPr>
          <w:rFonts w:ascii="Book Antiqua" w:hAnsi="Book Antiqua"/>
          <w:szCs w:val="22"/>
        </w:rPr>
        <w:t>da cui dipende l’organo accertatore spetta una quota dei proventi idonea a recuperare le spese di accertamento”. Appare evidente che l’eliminazione di tale ultimo inciso dal testo finale approvato in Senato e non più presente, pertanto, nell’attuale formulazione del comma 13-</w:t>
      </w:r>
      <w:r w:rsidRPr="00A6023A">
        <w:rPr>
          <w:rFonts w:ascii="Book Antiqua" w:hAnsi="Book Antiqua"/>
          <w:i/>
          <w:szCs w:val="22"/>
        </w:rPr>
        <w:t>ter</w:t>
      </w:r>
      <w:r w:rsidRPr="00CC250B">
        <w:rPr>
          <w:rFonts w:ascii="Book Antiqua" w:hAnsi="Book Antiqua"/>
          <w:szCs w:val="22"/>
        </w:rPr>
        <w:t xml:space="preserve"> della norma in esame, chiarisce l’intento del legislatore di considerare le spese di accertamento incluse nella metà delle risorse percepite dall’ente da cui dipende l’organo accertatore. Ulteriore conferma a favore di tale opzione interpretativa proviene dal già richiamato punto 9.11.4 dell’Allegato 4/1 al </w:t>
      </w:r>
      <w:r w:rsidR="00A96E87">
        <w:rPr>
          <w:rFonts w:ascii="Book Antiqua" w:hAnsi="Book Antiqua"/>
          <w:szCs w:val="22"/>
        </w:rPr>
        <w:t>d</w:t>
      </w:r>
      <w:r w:rsidRPr="00CC250B">
        <w:rPr>
          <w:rFonts w:ascii="Book Antiqua" w:hAnsi="Book Antiqua"/>
          <w:szCs w:val="22"/>
        </w:rPr>
        <w:t>.lgs. n. 118/2011 (“Con riferimento ai vincoli di destinazione delle entrate derivanti dalle sanzioni per violazioni del codice della strada, nella colonna b) è indicato il totale degli accertamenti delle entrate da sanzioni, dedotto lo stanziamento definitivo al fondo crediti di dubbia esigibilità/fondo svalutazione crediti riguardante tale entrate e gli impegni assunti per il compenso al concessionario”) dove tra le spese detraibili non sono menzionate quelle accessorie connesse a procedimenti di accertamento ed esazione.</w:t>
      </w:r>
    </w:p>
    <w:p w14:paraId="6BA3FA30" w14:textId="3C5BBCC0"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Per quanto riguarda,</w:t>
      </w:r>
      <w:r w:rsidR="004D4ED8">
        <w:rPr>
          <w:rFonts w:ascii="Book Antiqua" w:hAnsi="Book Antiqua"/>
          <w:szCs w:val="22"/>
        </w:rPr>
        <w:t xml:space="preserve"> poi</w:t>
      </w:r>
      <w:r w:rsidRPr="00CC250B">
        <w:rPr>
          <w:rFonts w:ascii="Book Antiqua" w:hAnsi="Book Antiqua"/>
          <w:szCs w:val="22"/>
        </w:rPr>
        <w:t>, il profilo relativo alla finalità della normativa in esame, va evidenziato che la stessa è chiaramente indicata dal legislatore proprio nel “potenziamento delle attività di controllo e di accertamento delle violazioni in materia di circolazione stradale”. In altri termini, il vincolo di destinazione previsto dal legislatore è finalizzato ad incrementare l’attività connessa ad un servizio pubblico (quello di “polizia stradale, ai sensi dell’art. 11, comma 1, lettera a) del “</w:t>
      </w:r>
      <w:r w:rsidR="00A96E87">
        <w:rPr>
          <w:rFonts w:ascii="Book Antiqua" w:hAnsi="Book Antiqua"/>
          <w:szCs w:val="22"/>
        </w:rPr>
        <w:t>c</w:t>
      </w:r>
      <w:r w:rsidRPr="00CC250B">
        <w:rPr>
          <w:rFonts w:ascii="Book Antiqua" w:hAnsi="Book Antiqua"/>
          <w:szCs w:val="22"/>
        </w:rPr>
        <w:t xml:space="preserve">odice della </w:t>
      </w:r>
      <w:r w:rsidR="00A96E87">
        <w:rPr>
          <w:rFonts w:ascii="Book Antiqua" w:hAnsi="Book Antiqua"/>
          <w:szCs w:val="22"/>
        </w:rPr>
        <w:t>s</w:t>
      </w:r>
      <w:r w:rsidRPr="00CC250B">
        <w:rPr>
          <w:rFonts w:ascii="Book Antiqua" w:hAnsi="Book Antiqua"/>
          <w:szCs w:val="22"/>
        </w:rPr>
        <w:t>trada”) attribuito agli enti comunali per quanto concerne i centri abitati. Ne segue che dalla quota stabilita dalla norma per potenziare l’indicato servizio pubblico non possono detrarsi le spese connesse a quella attività, salvo una specifica deroga (non presente nel caso di specie) espressamente prevista dalla legge. Diversamente opinando, si dovrebbe pervenire alla paradossale conclusione che dalle risorse vincolate al potenziamento delle attività di controllo e di accertamento delle violazioni in materia di circolazione stradale, e quindi destinate alla copertura delle relative spese, si debbano sottrarre dalla quota attribuita all’ente accertatore proprio quelle spese alla cui copertura è finalizzato il vincolo sui proventi voluto dal legislatore.</w:t>
      </w:r>
    </w:p>
    <w:p w14:paraId="0CC20298" w14:textId="29A6CC88"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4. Sul piano sistematico, infine, sembra opportuno fornire qualche ulteriore precisazione in merito al richiamo, operato dalla Sezione remittente, ai principi introdotti dal </w:t>
      </w:r>
      <w:r w:rsidR="00A96E87">
        <w:rPr>
          <w:rFonts w:ascii="Book Antiqua" w:hAnsi="Book Antiqua"/>
          <w:szCs w:val="22"/>
        </w:rPr>
        <w:t>d</w:t>
      </w:r>
      <w:r w:rsidRPr="00CC250B">
        <w:rPr>
          <w:rFonts w:ascii="Book Antiqua" w:hAnsi="Book Antiqua"/>
          <w:szCs w:val="22"/>
        </w:rPr>
        <w:t>.lgs. 23 giugno 2011, n. 118, in materia di armonizzazione dei sistemi contabili.</w:t>
      </w:r>
    </w:p>
    <w:p w14:paraId="09EA3E24" w14:textId="0D8A5B0D"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In particolare, si fa riferimento alla disciplina di cui al punto 9.11.4, </w:t>
      </w:r>
      <w:proofErr w:type="spellStart"/>
      <w:r w:rsidRPr="00CC250B">
        <w:rPr>
          <w:rFonts w:ascii="Book Antiqua" w:hAnsi="Book Antiqua"/>
          <w:szCs w:val="22"/>
        </w:rPr>
        <w:t>All</w:t>
      </w:r>
      <w:proofErr w:type="spellEnd"/>
      <w:r w:rsidRPr="00CC250B">
        <w:rPr>
          <w:rFonts w:ascii="Book Antiqua" w:hAnsi="Book Antiqua"/>
          <w:szCs w:val="22"/>
        </w:rPr>
        <w:t xml:space="preserve">. 4/1, </w:t>
      </w:r>
      <w:r w:rsidR="00A96E87">
        <w:rPr>
          <w:rFonts w:ascii="Book Antiqua" w:hAnsi="Book Antiqua"/>
          <w:szCs w:val="22"/>
        </w:rPr>
        <w:t>d</w:t>
      </w:r>
      <w:r w:rsidRPr="00CC250B">
        <w:rPr>
          <w:rFonts w:ascii="Book Antiqua" w:hAnsi="Book Antiqua"/>
          <w:szCs w:val="22"/>
        </w:rPr>
        <w:t xml:space="preserve">.lgs. </w:t>
      </w:r>
      <w:r w:rsidR="00A96E87">
        <w:rPr>
          <w:rFonts w:ascii="Book Antiqua" w:hAnsi="Book Antiqua"/>
          <w:szCs w:val="22"/>
        </w:rPr>
        <w:t xml:space="preserve">n. </w:t>
      </w:r>
      <w:r w:rsidRPr="00CC250B">
        <w:rPr>
          <w:rFonts w:ascii="Book Antiqua" w:hAnsi="Book Antiqua"/>
          <w:szCs w:val="22"/>
        </w:rPr>
        <w:t xml:space="preserve">118/2011, per la quale “Con riferimento ai vincoli di destinazione delle entrate derivanti dalle sanzioni per violazioni del codice della strada, nella colonna b) è indicato il totale degli accertamenti delle entrate da sanzioni, dedotto lo stanziamento definitivo al fondo crediti di dubbia esigibilità/fondo svalutazione crediti riguardante tale entrate e gli impegni assunti per il compenso al concessionario”. </w:t>
      </w:r>
    </w:p>
    <w:p w14:paraId="7A5E920A" w14:textId="0BA69A90"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lastRenderedPageBreak/>
        <w:t>Va evidenziato, al riguardo, che le precisazioni contenute nel principio applicato di cui all’</w:t>
      </w:r>
      <w:r w:rsidR="00A6023A">
        <w:rPr>
          <w:rFonts w:ascii="Book Antiqua" w:hAnsi="Book Antiqua"/>
          <w:szCs w:val="22"/>
        </w:rPr>
        <w:t>A</w:t>
      </w:r>
      <w:r w:rsidRPr="00CC250B">
        <w:rPr>
          <w:rFonts w:ascii="Book Antiqua" w:hAnsi="Book Antiqua"/>
          <w:szCs w:val="22"/>
        </w:rPr>
        <w:t xml:space="preserve">llegato 4/1, concernente la programmazione dei bilanci e richiamato per le regole applicative esposte al punto 9.11.4, sono riferite al criterio di determinazione della quota vincolata del risultato di amministrazione applicabile al bilancio prima dell’approvazione del rendiconto, vale a dire sulla base del risultato presunto calcolato con i dati di preconsuntivo. Il principio precisa che la quota in questione, da esporre nell’apposita tabella di calcolo dove si individuano le risorse correlate ai futuri impieghi (per ovvie esigenze di copertura) deve essere determinata al netto del FCDE e delle spese per il concessionario. </w:t>
      </w:r>
      <w:r w:rsidR="00A96E87">
        <w:rPr>
          <w:rFonts w:ascii="Book Antiqua" w:hAnsi="Book Antiqua"/>
          <w:szCs w:val="22"/>
        </w:rPr>
        <w:t xml:space="preserve">È </w:t>
      </w:r>
      <w:r w:rsidRPr="00CC250B">
        <w:rPr>
          <w:rFonts w:ascii="Book Antiqua" w:hAnsi="Book Antiqua"/>
          <w:szCs w:val="22"/>
        </w:rPr>
        <w:t xml:space="preserve">di tutta evidenza che questi criteri, derivati dai principi contabili applicati - quindi da norme tecniche di dettaglio di specificazione e di interpretazione delle norme contabili e dei principi generali - hanno lo scopo esclusivo di garantire la corretta rappresentazione in bilancio delle risorse vincolate a copertura di spese della medesima natura. Non si può ritenere, pertanto, che tali criteri contabili possano assumere valenza ai fini della individuazione delle presunte quote di risorse da scorporare prima del riparto dei proventi delle sanzioni derivanti dall’accertamento delle violazioni dei limiti massimi di velocità. </w:t>
      </w:r>
    </w:p>
    <w:p w14:paraId="191574DC" w14:textId="77777777"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D’altra parte, la deduzione del FCDE non potrebbe costituire il puntuale criterio di quantificazione delle risorse da ripartire anche in ragione del fatto che l’accantonamento in bilancio di questo fondo è oggetto, secondo le corrette regole gestionali, di monitoraggio e verifiche della sua congruità in corso di esercizio e a fine esercizio dalle quali può conseguire una rimodulazione dello stesso fondo. Si aggiunga che le poste residue che sono coperte dal FCDE nel corso dei successivi esercizi possono essere riscosse così come essere cancellate, potendone conseguire una modifica della quantificazione del FCDE operata, in ipotesi, a distanza di tempo dal riparto dei proventi ed una rimodulazione del riparto stesso. </w:t>
      </w:r>
    </w:p>
    <w:p w14:paraId="1D78CDE6" w14:textId="61F25480"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 xml:space="preserve">Analogamente, dall’esempio n. 4 dell’Allegato 4.2 (principio contabile applicato della contabilità finanziaria), relativo all’esplicazione dei criteri ai quali informare l’accertamento dei proventi derivanti dalle sanzioni per violazione al </w:t>
      </w:r>
      <w:r w:rsidR="00A96E87">
        <w:rPr>
          <w:rFonts w:ascii="Book Antiqua" w:hAnsi="Book Antiqua"/>
          <w:szCs w:val="22"/>
        </w:rPr>
        <w:t>c</w:t>
      </w:r>
      <w:r w:rsidRPr="00CC250B">
        <w:rPr>
          <w:rFonts w:ascii="Book Antiqua" w:hAnsi="Book Antiqua"/>
          <w:szCs w:val="22"/>
        </w:rPr>
        <w:t xml:space="preserve">odice della strada (“Per quanto riguarda invece il rispetto dei vincoli di destinazione previsti dalla legislazione vigente, la somma da destinare è rappresentata, in sede di previsione iniziale, dal totale entrate da sanzioni, dedotto il fondo crediti di dubbia esigibilità previsto e le spese previste per compenso al concessionario. Su tale differenza deve essere conteggiata la quota del 50% prevista dall'art. 208 del </w:t>
      </w:r>
      <w:r w:rsidR="00A96E87">
        <w:rPr>
          <w:rFonts w:ascii="Book Antiqua" w:hAnsi="Book Antiqua"/>
          <w:szCs w:val="22"/>
        </w:rPr>
        <w:t>c</w:t>
      </w:r>
      <w:r w:rsidRPr="00CC250B">
        <w:rPr>
          <w:rFonts w:ascii="Book Antiqua" w:hAnsi="Book Antiqua"/>
          <w:szCs w:val="22"/>
        </w:rPr>
        <w:t xml:space="preserve">odice della </w:t>
      </w:r>
      <w:r w:rsidR="00A96E87">
        <w:rPr>
          <w:rFonts w:ascii="Book Antiqua" w:hAnsi="Book Antiqua"/>
          <w:szCs w:val="22"/>
        </w:rPr>
        <w:t>s</w:t>
      </w:r>
      <w:r w:rsidRPr="00CC250B">
        <w:rPr>
          <w:rFonts w:ascii="Book Antiqua" w:hAnsi="Book Antiqua"/>
          <w:szCs w:val="22"/>
        </w:rPr>
        <w:t>trada”), non può dedursi un criterio di riduzione dell’importo che risponda a ragioni diverse da quelle di una corretta costruzione degli equilibri di bilancio, da realizzare attraverso una quantificazione delle risorse in funzione di una copertura che risulti credibile, sufficientemente sicura e non arbitraria delle spes</w:t>
      </w:r>
      <w:r w:rsidR="004D4ED8">
        <w:rPr>
          <w:rFonts w:ascii="Book Antiqua" w:hAnsi="Book Antiqua"/>
          <w:szCs w:val="22"/>
        </w:rPr>
        <w:t xml:space="preserve">e vincolate ad esse correlate. </w:t>
      </w:r>
      <w:r w:rsidRPr="00CC250B">
        <w:rPr>
          <w:rFonts w:ascii="Book Antiqua" w:hAnsi="Book Antiqua"/>
          <w:szCs w:val="22"/>
        </w:rPr>
        <w:t>Si sottolinea che tale esigenza riguarda allo stesso modo entrambi gli enti destinatari per legge dei proventi da sanzioni. Va considerato, infatti, che proprio in ragione del precitato Esempio n. 4, tali entrate sono accertate con la notifica del verbale di contravvenzione e da quel momento l’importo della sanzione diviene esigibile, mentre in un arco temporale successivo vanno a collocarsi gli eventi relativi all’effettivo introito, ivi compreso l’esito di un eventuale contenzioso.</w:t>
      </w:r>
      <w:r w:rsidR="000300BD">
        <w:rPr>
          <w:rFonts w:ascii="Book Antiqua" w:hAnsi="Book Antiqua"/>
          <w:szCs w:val="22"/>
        </w:rPr>
        <w:t xml:space="preserve"> </w:t>
      </w:r>
      <w:r w:rsidRPr="00CC250B">
        <w:rPr>
          <w:rFonts w:ascii="Book Antiqua" w:hAnsi="Book Antiqua"/>
          <w:szCs w:val="22"/>
        </w:rPr>
        <w:t xml:space="preserve">In funzione di tale criterio di imputazione al bilancio, entrambi gli enti dovranno iscrivere le poste attive operando </w:t>
      </w:r>
      <w:r w:rsidRPr="00CC250B">
        <w:rPr>
          <w:rFonts w:ascii="Book Antiqua" w:hAnsi="Book Antiqua"/>
          <w:szCs w:val="22"/>
        </w:rPr>
        <w:lastRenderedPageBreak/>
        <w:t xml:space="preserve">l’accantonamento al FCDE, in modo da evitare che sia il solo ente accertatore, provvedendo al totale accantonamento sull’intero importo da ripartire, a subire una compressione eccessiva degli spazi di spesa di sua competenza. </w:t>
      </w:r>
    </w:p>
    <w:p w14:paraId="3E7FB14B" w14:textId="77777777"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E’ altresì evidente che il riparto fatto sulla base dei soli accertamenti è soggetto a successivi ricalcoli e compensazioni proprio in funzione delle vicende posteriori alla fase dell’accertamento, in quanto l’ente accertatore rimane il soggetto di riferimento degli ulteriori rapporti giuridici che dovessero insorgere, ad esempio, in sede contenziosa.</w:t>
      </w:r>
    </w:p>
    <w:p w14:paraId="43C161B0" w14:textId="76631364" w:rsidR="00CC250B" w:rsidRPr="00CC250B" w:rsidRDefault="00CC250B" w:rsidP="00CC250B">
      <w:pPr>
        <w:shd w:val="clear" w:color="auto" w:fill="FFFFFF"/>
        <w:spacing w:line="340" w:lineRule="exact"/>
        <w:ind w:firstLine="0"/>
        <w:jc w:val="both"/>
        <w:rPr>
          <w:rFonts w:ascii="Book Antiqua" w:hAnsi="Book Antiqua"/>
          <w:szCs w:val="22"/>
        </w:rPr>
      </w:pPr>
      <w:r w:rsidRPr="00CC250B">
        <w:rPr>
          <w:rFonts w:ascii="Book Antiqua" w:hAnsi="Book Antiqua"/>
          <w:szCs w:val="22"/>
        </w:rPr>
        <w:t>Dall’interpretazione del complesso normativo sopra richiamato, pertanto, consegue che, con riguardo ai proventi sanzionatori derivanti dall’accertamento dell</w:t>
      </w:r>
      <w:r w:rsidR="00C815A2">
        <w:rPr>
          <w:rFonts w:ascii="Book Antiqua" w:hAnsi="Book Antiqua"/>
          <w:szCs w:val="22"/>
        </w:rPr>
        <w:t>a</w:t>
      </w:r>
      <w:bookmarkStart w:id="6" w:name="_GoBack"/>
      <w:bookmarkEnd w:id="6"/>
      <w:r w:rsidRPr="00CC250B">
        <w:rPr>
          <w:rFonts w:ascii="Book Antiqua" w:hAnsi="Book Antiqua"/>
          <w:szCs w:val="22"/>
        </w:rPr>
        <w:t xml:space="preserve"> violazione delle norme in materia di limiti di velocità, il riparto deve essere calcolato al lordo del FCDE, essendo obbligo specifico di ciascun ente titolare dei proventi quello di iscrivere in bilancio le corrispondenti poste attive al netto dell’accantonamento in bilancio del FCDE.</w:t>
      </w:r>
    </w:p>
    <w:p w14:paraId="1C877DF4" w14:textId="4EBB76C9" w:rsidR="000D5013" w:rsidRPr="009E39B0" w:rsidRDefault="000D5013" w:rsidP="000D5013">
      <w:pPr>
        <w:shd w:val="clear" w:color="auto" w:fill="FFFFFF"/>
        <w:spacing w:before="240" w:after="240" w:line="340" w:lineRule="exact"/>
        <w:ind w:firstLine="0"/>
        <w:jc w:val="center"/>
        <w:rPr>
          <w:rFonts w:ascii="Book Antiqua" w:hAnsi="Book Antiqua"/>
          <w:b/>
          <w:spacing w:val="20"/>
          <w:szCs w:val="22"/>
        </w:rPr>
      </w:pPr>
      <w:r w:rsidRPr="009E39B0">
        <w:rPr>
          <w:rFonts w:ascii="Book Antiqua" w:hAnsi="Book Antiqua"/>
          <w:b/>
          <w:spacing w:val="20"/>
          <w:szCs w:val="22"/>
        </w:rPr>
        <w:t>P.Q.M.</w:t>
      </w:r>
    </w:p>
    <w:p w14:paraId="17152A7B" w14:textId="5203E466" w:rsidR="000D5013" w:rsidRPr="009E39B0" w:rsidRDefault="00171E70" w:rsidP="000D5013">
      <w:pPr>
        <w:tabs>
          <w:tab w:val="left" w:pos="0"/>
        </w:tabs>
        <w:spacing w:after="100" w:line="340" w:lineRule="exact"/>
        <w:ind w:firstLine="0"/>
        <w:jc w:val="both"/>
        <w:rPr>
          <w:rFonts w:ascii="Book Antiqua" w:hAnsi="Book Antiqua"/>
          <w:szCs w:val="22"/>
        </w:rPr>
      </w:pPr>
      <w:r w:rsidRPr="009E39B0">
        <w:rPr>
          <w:rFonts w:ascii="Book Antiqua" w:hAnsi="Book Antiqua"/>
          <w:szCs w:val="22"/>
        </w:rPr>
        <w:t>La Sezione delle autonomie della Corte dei conti, pronunciandosi sulla questione di massima post</w:t>
      </w:r>
      <w:r>
        <w:rPr>
          <w:rFonts w:ascii="Book Antiqua" w:hAnsi="Book Antiqua"/>
          <w:szCs w:val="22"/>
        </w:rPr>
        <w:t>a</w:t>
      </w:r>
      <w:r w:rsidRPr="009E39B0">
        <w:rPr>
          <w:rFonts w:ascii="Book Antiqua" w:hAnsi="Book Antiqua"/>
          <w:szCs w:val="22"/>
        </w:rPr>
        <w:t xml:space="preserve"> dalla </w:t>
      </w:r>
      <w:r w:rsidR="002961C9" w:rsidRPr="009E39B0">
        <w:rPr>
          <w:rFonts w:ascii="Book Antiqua" w:hAnsi="Book Antiqua"/>
          <w:szCs w:val="22"/>
        </w:rPr>
        <w:t xml:space="preserve">Sezione </w:t>
      </w:r>
      <w:r w:rsidR="002961C9">
        <w:rPr>
          <w:rFonts w:ascii="Book Antiqua" w:hAnsi="Book Antiqua"/>
          <w:szCs w:val="22"/>
        </w:rPr>
        <w:t xml:space="preserve">regionale </w:t>
      </w:r>
      <w:r w:rsidR="002961C9" w:rsidRPr="009E39B0">
        <w:rPr>
          <w:rFonts w:ascii="Book Antiqua" w:hAnsi="Book Antiqua"/>
          <w:szCs w:val="22"/>
        </w:rPr>
        <w:t xml:space="preserve">di controllo per </w:t>
      </w:r>
      <w:r w:rsidR="002961C9">
        <w:rPr>
          <w:rFonts w:ascii="Book Antiqua" w:hAnsi="Book Antiqua"/>
          <w:szCs w:val="22"/>
        </w:rPr>
        <w:t xml:space="preserve">il Veneto </w:t>
      </w:r>
      <w:r w:rsidRPr="009E39B0">
        <w:rPr>
          <w:rFonts w:ascii="Book Antiqua" w:hAnsi="Book Antiqua"/>
          <w:szCs w:val="22"/>
        </w:rPr>
        <w:t xml:space="preserve">con la deliberazione n. </w:t>
      </w:r>
      <w:r w:rsidR="002961C9">
        <w:rPr>
          <w:rFonts w:ascii="Book Antiqua" w:hAnsi="Book Antiqua"/>
          <w:szCs w:val="22"/>
        </w:rPr>
        <w:t>323</w:t>
      </w:r>
      <w:r w:rsidRPr="009E39B0">
        <w:rPr>
          <w:rFonts w:ascii="Book Antiqua" w:hAnsi="Book Antiqua"/>
          <w:szCs w:val="22"/>
        </w:rPr>
        <w:t>/2018/</w:t>
      </w:r>
      <w:r>
        <w:rPr>
          <w:rFonts w:ascii="Book Antiqua" w:hAnsi="Book Antiqua"/>
          <w:szCs w:val="22"/>
        </w:rPr>
        <w:t>QMIG</w:t>
      </w:r>
      <w:r w:rsidRPr="009E39B0">
        <w:rPr>
          <w:rFonts w:ascii="Book Antiqua" w:hAnsi="Book Antiqua"/>
          <w:szCs w:val="22"/>
        </w:rPr>
        <w:t>, enuncia i</w:t>
      </w:r>
      <w:r>
        <w:rPr>
          <w:rFonts w:ascii="Book Antiqua" w:hAnsi="Book Antiqua"/>
          <w:szCs w:val="22"/>
        </w:rPr>
        <w:t>l</w:t>
      </w:r>
      <w:r w:rsidRPr="009E39B0">
        <w:rPr>
          <w:rFonts w:ascii="Book Antiqua" w:hAnsi="Book Antiqua"/>
          <w:szCs w:val="22"/>
        </w:rPr>
        <w:t xml:space="preserve"> seguent</w:t>
      </w:r>
      <w:r>
        <w:rPr>
          <w:rFonts w:ascii="Book Antiqua" w:hAnsi="Book Antiqua"/>
          <w:szCs w:val="22"/>
        </w:rPr>
        <w:t>e</w:t>
      </w:r>
      <w:r w:rsidRPr="009E39B0">
        <w:rPr>
          <w:rFonts w:ascii="Book Antiqua" w:hAnsi="Book Antiqua"/>
          <w:szCs w:val="22"/>
        </w:rPr>
        <w:t xml:space="preserve"> principi</w:t>
      </w:r>
      <w:r>
        <w:rPr>
          <w:rFonts w:ascii="Book Antiqua" w:hAnsi="Book Antiqua"/>
          <w:szCs w:val="22"/>
        </w:rPr>
        <w:t>o</w:t>
      </w:r>
      <w:r w:rsidRPr="009E39B0">
        <w:rPr>
          <w:rFonts w:ascii="Book Antiqua" w:hAnsi="Book Antiqua"/>
          <w:szCs w:val="22"/>
        </w:rPr>
        <w:t xml:space="preserve"> di diritto:</w:t>
      </w:r>
    </w:p>
    <w:p w14:paraId="220B5F84" w14:textId="557981B6" w:rsidR="000D5013" w:rsidRPr="009E39B0" w:rsidRDefault="00C44BA8" w:rsidP="00CC08AA">
      <w:pPr>
        <w:tabs>
          <w:tab w:val="left" w:pos="0"/>
        </w:tabs>
        <w:spacing w:after="100" w:line="340" w:lineRule="exact"/>
        <w:ind w:firstLine="0"/>
        <w:jc w:val="both"/>
        <w:rPr>
          <w:rFonts w:ascii="Book Antiqua" w:hAnsi="Book Antiqua"/>
          <w:szCs w:val="22"/>
        </w:rPr>
      </w:pPr>
      <w:r>
        <w:rPr>
          <w:rFonts w:ascii="Book Antiqua" w:hAnsi="Book Antiqua"/>
          <w:i/>
          <w:szCs w:val="22"/>
        </w:rPr>
        <w:t>“</w:t>
      </w:r>
      <w:r w:rsidR="001C75BA" w:rsidRPr="001C75BA">
        <w:rPr>
          <w:rFonts w:ascii="Book Antiqua" w:hAnsi="Book Antiqua"/>
          <w:i/>
          <w:szCs w:val="22"/>
        </w:rPr>
        <w:t xml:space="preserve">Ai fini della corretta quantificazione della quota del 50% dei proventi derivanti dall’accertamento delle violazioni dei limiti massimi di velocità, di cui all’art. 142, comma 12-bis, del </w:t>
      </w:r>
      <w:r w:rsidR="001C75BA">
        <w:rPr>
          <w:rFonts w:ascii="Book Antiqua" w:hAnsi="Book Antiqua"/>
          <w:i/>
          <w:szCs w:val="22"/>
        </w:rPr>
        <w:t>d</w:t>
      </w:r>
      <w:r w:rsidR="001C75BA" w:rsidRPr="001C75BA">
        <w:rPr>
          <w:rFonts w:ascii="Book Antiqua" w:hAnsi="Book Antiqua"/>
          <w:i/>
          <w:szCs w:val="22"/>
        </w:rPr>
        <w:t>.</w:t>
      </w:r>
      <w:r w:rsidR="001C75BA">
        <w:rPr>
          <w:rFonts w:ascii="Book Antiqua" w:hAnsi="Book Antiqua"/>
          <w:i/>
          <w:szCs w:val="22"/>
        </w:rPr>
        <w:t>l</w:t>
      </w:r>
      <w:r w:rsidR="001C75BA" w:rsidRPr="001C75BA">
        <w:rPr>
          <w:rFonts w:ascii="Book Antiqua" w:hAnsi="Book Antiqua"/>
          <w:i/>
          <w:szCs w:val="22"/>
        </w:rPr>
        <w:t>gs. n. 285/1992, attribuita all’ente da cui dipende l’organo accertatore, non devono essere detratte le spese per il personale impiegato nella specifica attività di controllo e di accertamento delle violazioni, le spese connesse al rilevamento, all’accertamento e alla notifica delle stesse e quelle successive relative alla riscossione della sanzione</w:t>
      </w:r>
      <w:r w:rsidR="001C75BA">
        <w:rPr>
          <w:rFonts w:ascii="Book Antiqua" w:hAnsi="Book Antiqua"/>
          <w:i/>
          <w:szCs w:val="22"/>
        </w:rPr>
        <w:t>.</w:t>
      </w:r>
      <w:r w:rsidR="00CC08AA" w:rsidRPr="00C44BA8">
        <w:rPr>
          <w:rFonts w:ascii="Book Antiqua" w:hAnsi="Book Antiqua"/>
          <w:i/>
          <w:spacing w:val="4"/>
          <w:szCs w:val="22"/>
        </w:rPr>
        <w:t>”</w:t>
      </w:r>
    </w:p>
    <w:p w14:paraId="295C1296" w14:textId="57555BD2" w:rsidR="000D5013" w:rsidRPr="009E39B0" w:rsidRDefault="00171E70" w:rsidP="000D5013">
      <w:pPr>
        <w:tabs>
          <w:tab w:val="left" w:pos="0"/>
        </w:tabs>
        <w:spacing w:after="100" w:line="340" w:lineRule="exact"/>
        <w:ind w:firstLine="0"/>
        <w:jc w:val="both"/>
        <w:rPr>
          <w:rFonts w:ascii="Book Antiqua" w:hAnsi="Book Antiqua"/>
          <w:szCs w:val="22"/>
        </w:rPr>
      </w:pPr>
      <w:r w:rsidRPr="009E39B0">
        <w:rPr>
          <w:rFonts w:ascii="Book Antiqua" w:hAnsi="Book Antiqua"/>
          <w:szCs w:val="22"/>
        </w:rPr>
        <w:t xml:space="preserve">La </w:t>
      </w:r>
      <w:r w:rsidR="002961C9" w:rsidRPr="009E39B0">
        <w:rPr>
          <w:rFonts w:ascii="Book Antiqua" w:hAnsi="Book Antiqua"/>
          <w:szCs w:val="22"/>
        </w:rPr>
        <w:t xml:space="preserve">Sezione </w:t>
      </w:r>
      <w:r w:rsidR="002961C9">
        <w:rPr>
          <w:rFonts w:ascii="Book Antiqua" w:hAnsi="Book Antiqua"/>
          <w:szCs w:val="22"/>
        </w:rPr>
        <w:t xml:space="preserve">regionale </w:t>
      </w:r>
      <w:r w:rsidR="002961C9" w:rsidRPr="009E39B0">
        <w:rPr>
          <w:rFonts w:ascii="Book Antiqua" w:hAnsi="Book Antiqua"/>
          <w:szCs w:val="22"/>
        </w:rPr>
        <w:t xml:space="preserve">di controllo per </w:t>
      </w:r>
      <w:r w:rsidR="002961C9">
        <w:rPr>
          <w:rFonts w:ascii="Book Antiqua" w:hAnsi="Book Antiqua"/>
          <w:szCs w:val="22"/>
        </w:rPr>
        <w:t xml:space="preserve">il Veneto </w:t>
      </w:r>
      <w:r w:rsidRPr="009E39B0">
        <w:rPr>
          <w:rFonts w:ascii="Book Antiqua" w:hAnsi="Book Antiqua"/>
          <w:szCs w:val="22"/>
        </w:rPr>
        <w:t>si atterrà al principio di diritto enunciato nel presente atto di orientamento, al quale si conformeranno tutte le Sezioni regionali di controllo ai sensi dell’art. 6, comma 4, del d.l. 10 ottobre 2012, n. 174, convertito dalla legge 7 dicembre 2012, n. 213.</w:t>
      </w:r>
    </w:p>
    <w:p w14:paraId="1702CAE3" w14:textId="407D0998" w:rsidR="006C4FC3" w:rsidRPr="009E39B0" w:rsidRDefault="00171E70" w:rsidP="008F15A7">
      <w:pPr>
        <w:tabs>
          <w:tab w:val="left" w:pos="0"/>
        </w:tabs>
        <w:spacing w:after="240" w:line="340" w:lineRule="exact"/>
        <w:ind w:firstLine="0"/>
        <w:jc w:val="both"/>
        <w:rPr>
          <w:rFonts w:ascii="Book Antiqua" w:hAnsi="Book Antiqua"/>
          <w:szCs w:val="22"/>
        </w:rPr>
      </w:pPr>
      <w:r w:rsidRPr="005429AD">
        <w:rPr>
          <w:rFonts w:ascii="Book Antiqua" w:hAnsi="Book Antiqua"/>
        </w:rPr>
        <w:t>Così deliberato in Roma nell’adunanza del 2</w:t>
      </w:r>
      <w:r>
        <w:rPr>
          <w:rFonts w:ascii="Book Antiqua" w:hAnsi="Book Antiqua"/>
        </w:rPr>
        <w:t>1</w:t>
      </w:r>
      <w:r w:rsidRPr="005429AD">
        <w:rPr>
          <w:rFonts w:ascii="Book Antiqua" w:hAnsi="Book Antiqua"/>
        </w:rPr>
        <w:t xml:space="preserve"> </w:t>
      </w:r>
      <w:r>
        <w:rPr>
          <w:rFonts w:ascii="Book Antiqua" w:hAnsi="Book Antiqua"/>
        </w:rPr>
        <w:t>dicembre</w:t>
      </w:r>
      <w:r w:rsidRPr="005429AD">
        <w:rPr>
          <w:rFonts w:ascii="Book Antiqua" w:hAnsi="Book Antiqua"/>
        </w:rPr>
        <w:t xml:space="preserve"> 2018.</w:t>
      </w:r>
    </w:p>
    <w:tbl>
      <w:tblPr>
        <w:tblW w:w="5222" w:type="pct"/>
        <w:jc w:val="center"/>
        <w:tblLook w:val="04A0" w:firstRow="1" w:lastRow="0" w:firstColumn="1" w:lastColumn="0" w:noHBand="0" w:noVBand="1"/>
      </w:tblPr>
      <w:tblGrid>
        <w:gridCol w:w="4678"/>
        <w:gridCol w:w="5388"/>
      </w:tblGrid>
      <w:tr w:rsidR="007C0D4A" w:rsidRPr="009E39B0" w14:paraId="078C1774" w14:textId="77777777" w:rsidTr="00A224FD">
        <w:trPr>
          <w:trHeight w:val="380"/>
          <w:jc w:val="center"/>
        </w:trPr>
        <w:tc>
          <w:tcPr>
            <w:tcW w:w="4678" w:type="dxa"/>
            <w:vAlign w:val="center"/>
            <w:hideMark/>
          </w:tcPr>
          <w:p w14:paraId="7C6CC8B0" w14:textId="046B0B85" w:rsidR="0076064D" w:rsidRPr="009E39B0" w:rsidRDefault="0076064D" w:rsidP="00C34D93">
            <w:pPr>
              <w:tabs>
                <w:tab w:val="left" w:pos="6229"/>
              </w:tabs>
              <w:spacing w:after="40" w:line="340" w:lineRule="exact"/>
              <w:ind w:firstLine="0"/>
              <w:jc w:val="center"/>
              <w:rPr>
                <w:rFonts w:ascii="Book Antiqua" w:eastAsia="Calibri" w:hAnsi="Book Antiqua"/>
                <w:szCs w:val="22"/>
                <w:lang w:eastAsia="en-US"/>
              </w:rPr>
            </w:pPr>
            <w:r w:rsidRPr="009E39B0">
              <w:rPr>
                <w:rFonts w:ascii="Book Antiqua" w:eastAsia="Calibri" w:hAnsi="Book Antiqua"/>
                <w:szCs w:val="22"/>
                <w:lang w:eastAsia="en-US"/>
              </w:rPr>
              <w:t>I</w:t>
            </w:r>
            <w:r w:rsidR="001F3BC8" w:rsidRPr="009E39B0">
              <w:rPr>
                <w:rFonts w:ascii="Book Antiqua" w:eastAsia="Calibri" w:hAnsi="Book Antiqua"/>
                <w:szCs w:val="22"/>
                <w:lang w:eastAsia="en-US"/>
              </w:rPr>
              <w:t xml:space="preserve"> Relator</w:t>
            </w:r>
            <w:r w:rsidR="002961C9">
              <w:rPr>
                <w:rFonts w:ascii="Book Antiqua" w:eastAsia="Calibri" w:hAnsi="Book Antiqua"/>
                <w:szCs w:val="22"/>
                <w:lang w:eastAsia="en-US"/>
              </w:rPr>
              <w:t>i</w:t>
            </w:r>
          </w:p>
        </w:tc>
        <w:tc>
          <w:tcPr>
            <w:tcW w:w="5388" w:type="dxa"/>
            <w:vAlign w:val="center"/>
            <w:hideMark/>
          </w:tcPr>
          <w:p w14:paraId="745BF9D3" w14:textId="1C1399EA" w:rsidR="0076064D" w:rsidRPr="009E39B0" w:rsidRDefault="0076064D" w:rsidP="00C34D93">
            <w:pPr>
              <w:tabs>
                <w:tab w:val="left" w:pos="6229"/>
              </w:tabs>
              <w:spacing w:after="40" w:line="340" w:lineRule="exact"/>
              <w:ind w:firstLine="0"/>
              <w:jc w:val="center"/>
              <w:rPr>
                <w:rFonts w:ascii="Book Antiqua" w:eastAsia="Calibri" w:hAnsi="Book Antiqua"/>
                <w:szCs w:val="22"/>
                <w:lang w:eastAsia="en-US"/>
              </w:rPr>
            </w:pPr>
            <w:r w:rsidRPr="009E39B0">
              <w:rPr>
                <w:rFonts w:ascii="Book Antiqua" w:eastAsia="Calibri" w:hAnsi="Book Antiqua"/>
                <w:szCs w:val="22"/>
                <w:lang w:eastAsia="en-US"/>
              </w:rPr>
              <w:t>Il Presidente</w:t>
            </w:r>
          </w:p>
        </w:tc>
      </w:tr>
      <w:tr w:rsidR="009B6004" w:rsidRPr="009E39B0" w14:paraId="5FA4E174" w14:textId="77777777" w:rsidTr="00A224FD">
        <w:trPr>
          <w:trHeight w:val="80"/>
          <w:jc w:val="center"/>
        </w:trPr>
        <w:tc>
          <w:tcPr>
            <w:tcW w:w="4678" w:type="dxa"/>
            <w:vAlign w:val="center"/>
          </w:tcPr>
          <w:p w14:paraId="56F77A70" w14:textId="6D918471" w:rsidR="009B6004" w:rsidRPr="009E39B0" w:rsidRDefault="001A4371" w:rsidP="00A224FD">
            <w:pPr>
              <w:tabs>
                <w:tab w:val="left" w:pos="6229"/>
              </w:tabs>
              <w:spacing w:line="340" w:lineRule="exact"/>
              <w:ind w:firstLine="0"/>
              <w:jc w:val="center"/>
              <w:rPr>
                <w:rFonts w:ascii="Book Antiqua" w:eastAsia="Calibri" w:hAnsi="Book Antiqua"/>
                <w:szCs w:val="22"/>
                <w:lang w:eastAsia="en-US"/>
              </w:rPr>
            </w:pPr>
            <w:r>
              <w:rPr>
                <w:rFonts w:ascii="Book Antiqua" w:hAnsi="Book Antiqua"/>
                <w:szCs w:val="22"/>
              </w:rPr>
              <w:t xml:space="preserve">F.to </w:t>
            </w:r>
            <w:r w:rsidR="002961C9">
              <w:rPr>
                <w:rFonts w:ascii="Book Antiqua" w:hAnsi="Book Antiqua"/>
                <w:szCs w:val="22"/>
              </w:rPr>
              <w:t>Rinieri FERONE</w:t>
            </w:r>
          </w:p>
        </w:tc>
        <w:tc>
          <w:tcPr>
            <w:tcW w:w="5388" w:type="dxa"/>
            <w:vAlign w:val="center"/>
          </w:tcPr>
          <w:p w14:paraId="6F20FD5E" w14:textId="3C74994D" w:rsidR="009B6004" w:rsidRPr="009E39B0" w:rsidRDefault="001A4371" w:rsidP="00A224FD">
            <w:pPr>
              <w:tabs>
                <w:tab w:val="left" w:pos="6229"/>
              </w:tabs>
              <w:spacing w:after="40" w:line="340" w:lineRule="exact"/>
              <w:ind w:firstLine="0"/>
              <w:jc w:val="center"/>
              <w:rPr>
                <w:rFonts w:ascii="Book Antiqua" w:eastAsia="Calibri" w:hAnsi="Book Antiqua"/>
                <w:szCs w:val="22"/>
                <w:lang w:eastAsia="en-US"/>
              </w:rPr>
            </w:pPr>
            <w:r>
              <w:rPr>
                <w:rFonts w:ascii="Book Antiqua" w:eastAsia="Calibri" w:hAnsi="Book Antiqua"/>
                <w:szCs w:val="22"/>
                <w:lang w:eastAsia="en-US"/>
              </w:rPr>
              <w:t xml:space="preserve">F.to </w:t>
            </w:r>
            <w:r w:rsidR="00A224FD" w:rsidRPr="009E39B0">
              <w:rPr>
                <w:rFonts w:ascii="Book Antiqua" w:eastAsia="Calibri" w:hAnsi="Book Antiqua"/>
                <w:szCs w:val="22"/>
                <w:lang w:eastAsia="en-US"/>
              </w:rPr>
              <w:t>Angelo BUSCEMA</w:t>
            </w:r>
          </w:p>
        </w:tc>
      </w:tr>
      <w:tr w:rsidR="009B6004" w:rsidRPr="009E39B0" w14:paraId="1B911888" w14:textId="77777777" w:rsidTr="00A224FD">
        <w:trPr>
          <w:trHeight w:val="135"/>
          <w:jc w:val="center"/>
        </w:trPr>
        <w:tc>
          <w:tcPr>
            <w:tcW w:w="4678" w:type="dxa"/>
            <w:vAlign w:val="center"/>
          </w:tcPr>
          <w:p w14:paraId="6F51BDDE" w14:textId="77777777" w:rsidR="009B6004" w:rsidRPr="009E39B0" w:rsidRDefault="009B6004" w:rsidP="00476655">
            <w:pPr>
              <w:tabs>
                <w:tab w:val="left" w:pos="6229"/>
              </w:tabs>
              <w:spacing w:line="340" w:lineRule="exact"/>
              <w:ind w:firstLine="0"/>
              <w:jc w:val="center"/>
              <w:rPr>
                <w:rFonts w:ascii="Book Antiqua" w:hAnsi="Book Antiqua"/>
                <w:szCs w:val="22"/>
              </w:rPr>
            </w:pPr>
          </w:p>
        </w:tc>
        <w:tc>
          <w:tcPr>
            <w:tcW w:w="5388" w:type="dxa"/>
            <w:vAlign w:val="center"/>
          </w:tcPr>
          <w:p w14:paraId="2DEDEC5B" w14:textId="77777777" w:rsidR="009B6004" w:rsidRPr="009E39B0" w:rsidRDefault="009B6004" w:rsidP="00C34D93">
            <w:pPr>
              <w:tabs>
                <w:tab w:val="left" w:pos="6229"/>
              </w:tabs>
              <w:spacing w:after="40" w:line="340" w:lineRule="exact"/>
              <w:ind w:firstLine="0"/>
              <w:jc w:val="center"/>
              <w:rPr>
                <w:rFonts w:ascii="Book Antiqua" w:eastAsia="Calibri" w:hAnsi="Book Antiqua"/>
                <w:szCs w:val="22"/>
                <w:lang w:eastAsia="en-US"/>
              </w:rPr>
            </w:pPr>
          </w:p>
        </w:tc>
      </w:tr>
      <w:tr w:rsidR="002961C9" w:rsidRPr="009E39B0" w14:paraId="2A6A73B3" w14:textId="77777777" w:rsidTr="00A224FD">
        <w:trPr>
          <w:trHeight w:val="135"/>
          <w:jc w:val="center"/>
        </w:trPr>
        <w:tc>
          <w:tcPr>
            <w:tcW w:w="4678" w:type="dxa"/>
            <w:vAlign w:val="center"/>
          </w:tcPr>
          <w:p w14:paraId="17205F3F" w14:textId="3E5A140D" w:rsidR="002961C9" w:rsidRPr="009E39B0" w:rsidRDefault="001A4371" w:rsidP="00476655">
            <w:pPr>
              <w:tabs>
                <w:tab w:val="left" w:pos="6229"/>
              </w:tabs>
              <w:spacing w:line="340" w:lineRule="exact"/>
              <w:ind w:firstLine="0"/>
              <w:jc w:val="center"/>
              <w:rPr>
                <w:rFonts w:ascii="Book Antiqua" w:hAnsi="Book Antiqua"/>
                <w:szCs w:val="22"/>
              </w:rPr>
            </w:pPr>
            <w:r>
              <w:rPr>
                <w:rFonts w:ascii="Book Antiqua" w:hAnsi="Book Antiqua"/>
                <w:szCs w:val="22"/>
              </w:rPr>
              <w:t xml:space="preserve">F.to </w:t>
            </w:r>
            <w:r w:rsidR="002961C9">
              <w:rPr>
                <w:rFonts w:ascii="Book Antiqua" w:hAnsi="Book Antiqua"/>
                <w:szCs w:val="22"/>
              </w:rPr>
              <w:t>Dario PROVVIDERA</w:t>
            </w:r>
          </w:p>
        </w:tc>
        <w:tc>
          <w:tcPr>
            <w:tcW w:w="5388" w:type="dxa"/>
            <w:vAlign w:val="center"/>
          </w:tcPr>
          <w:p w14:paraId="4FF2A32A" w14:textId="77777777" w:rsidR="002961C9" w:rsidRPr="009E39B0" w:rsidRDefault="002961C9" w:rsidP="00C34D93">
            <w:pPr>
              <w:tabs>
                <w:tab w:val="left" w:pos="6229"/>
              </w:tabs>
              <w:spacing w:after="40" w:line="340" w:lineRule="exact"/>
              <w:ind w:firstLine="0"/>
              <w:jc w:val="center"/>
              <w:rPr>
                <w:rFonts w:ascii="Book Antiqua" w:eastAsia="Calibri" w:hAnsi="Book Antiqua"/>
                <w:szCs w:val="22"/>
                <w:lang w:eastAsia="en-US"/>
              </w:rPr>
            </w:pPr>
          </w:p>
        </w:tc>
      </w:tr>
      <w:tr w:rsidR="002961C9" w:rsidRPr="009E39B0" w14:paraId="156A0F11" w14:textId="77777777" w:rsidTr="00A224FD">
        <w:trPr>
          <w:trHeight w:val="135"/>
          <w:jc w:val="center"/>
        </w:trPr>
        <w:tc>
          <w:tcPr>
            <w:tcW w:w="4678" w:type="dxa"/>
            <w:vAlign w:val="center"/>
          </w:tcPr>
          <w:p w14:paraId="108F8A23" w14:textId="77777777" w:rsidR="002961C9" w:rsidRDefault="002961C9" w:rsidP="00476655">
            <w:pPr>
              <w:tabs>
                <w:tab w:val="left" w:pos="6229"/>
              </w:tabs>
              <w:spacing w:line="340" w:lineRule="exact"/>
              <w:ind w:firstLine="0"/>
              <w:jc w:val="center"/>
              <w:rPr>
                <w:rFonts w:ascii="Book Antiqua" w:hAnsi="Book Antiqua"/>
                <w:szCs w:val="22"/>
              </w:rPr>
            </w:pPr>
          </w:p>
          <w:p w14:paraId="2230E809" w14:textId="77777777" w:rsidR="000300BD" w:rsidRPr="009E39B0" w:rsidRDefault="000300BD" w:rsidP="00476655">
            <w:pPr>
              <w:tabs>
                <w:tab w:val="left" w:pos="6229"/>
              </w:tabs>
              <w:spacing w:line="340" w:lineRule="exact"/>
              <w:ind w:firstLine="0"/>
              <w:jc w:val="center"/>
              <w:rPr>
                <w:rFonts w:ascii="Book Antiqua" w:hAnsi="Book Antiqua"/>
                <w:szCs w:val="22"/>
              </w:rPr>
            </w:pPr>
          </w:p>
        </w:tc>
        <w:tc>
          <w:tcPr>
            <w:tcW w:w="5388" w:type="dxa"/>
            <w:vAlign w:val="center"/>
          </w:tcPr>
          <w:p w14:paraId="49427407" w14:textId="77777777" w:rsidR="002961C9" w:rsidRPr="009E39B0" w:rsidRDefault="002961C9" w:rsidP="00C34D93">
            <w:pPr>
              <w:tabs>
                <w:tab w:val="left" w:pos="6229"/>
              </w:tabs>
              <w:spacing w:after="40" w:line="340" w:lineRule="exact"/>
              <w:ind w:firstLine="0"/>
              <w:jc w:val="center"/>
              <w:rPr>
                <w:rFonts w:ascii="Book Antiqua" w:eastAsia="Calibri" w:hAnsi="Book Antiqua"/>
                <w:szCs w:val="22"/>
                <w:lang w:eastAsia="en-US"/>
              </w:rPr>
            </w:pPr>
          </w:p>
        </w:tc>
      </w:tr>
    </w:tbl>
    <w:p w14:paraId="6C496D7F" w14:textId="53D386E2" w:rsidR="0076064D" w:rsidRPr="009E39B0" w:rsidRDefault="00E3676A" w:rsidP="00476655">
      <w:pPr>
        <w:spacing w:after="120" w:line="340" w:lineRule="exact"/>
        <w:ind w:firstLine="709"/>
        <w:jc w:val="both"/>
        <w:rPr>
          <w:rStyle w:val="Enfasigrassetto"/>
          <w:rFonts w:ascii="Book Antiqua" w:hAnsi="Book Antiqua"/>
          <w:b w:val="0"/>
          <w:bCs/>
          <w:szCs w:val="22"/>
        </w:rPr>
      </w:pPr>
      <w:r w:rsidRPr="009E39B0">
        <w:rPr>
          <w:rStyle w:val="Enfasigrassetto"/>
          <w:rFonts w:ascii="Book Antiqua" w:hAnsi="Book Antiqua"/>
          <w:b w:val="0"/>
          <w:bCs/>
          <w:szCs w:val="22"/>
        </w:rPr>
        <w:t>Depositata in s</w:t>
      </w:r>
      <w:r w:rsidR="0076064D" w:rsidRPr="009E39B0">
        <w:rPr>
          <w:rStyle w:val="Enfasigrassetto"/>
          <w:rFonts w:ascii="Book Antiqua" w:hAnsi="Book Antiqua"/>
          <w:b w:val="0"/>
          <w:bCs/>
          <w:szCs w:val="22"/>
        </w:rPr>
        <w:t>egreteria il</w:t>
      </w:r>
      <w:r w:rsidR="00D528EA" w:rsidRPr="009E39B0">
        <w:rPr>
          <w:rStyle w:val="Enfasigrassetto"/>
          <w:rFonts w:ascii="Book Antiqua" w:hAnsi="Book Antiqua"/>
          <w:b w:val="0"/>
          <w:bCs/>
          <w:szCs w:val="22"/>
        </w:rPr>
        <w:t xml:space="preserve"> </w:t>
      </w:r>
      <w:r w:rsidR="001A4371">
        <w:rPr>
          <w:rStyle w:val="Enfasigrassetto"/>
          <w:rFonts w:ascii="Book Antiqua" w:hAnsi="Book Antiqua"/>
          <w:b w:val="0"/>
          <w:bCs/>
          <w:szCs w:val="22"/>
        </w:rPr>
        <w:t>9 gennaio 2019</w:t>
      </w:r>
    </w:p>
    <w:p w14:paraId="57FA9CD8" w14:textId="77777777" w:rsidR="0076064D" w:rsidRPr="009E39B0" w:rsidRDefault="0076064D" w:rsidP="00C34D93">
      <w:pPr>
        <w:spacing w:line="340" w:lineRule="exact"/>
        <w:ind w:firstLine="0"/>
        <w:jc w:val="center"/>
        <w:rPr>
          <w:rStyle w:val="Enfasigrassetto"/>
          <w:rFonts w:ascii="Book Antiqua" w:hAnsi="Book Antiqua"/>
          <w:b w:val="0"/>
          <w:bCs/>
          <w:szCs w:val="22"/>
        </w:rPr>
      </w:pPr>
      <w:r w:rsidRPr="009E39B0">
        <w:rPr>
          <w:rStyle w:val="Enfasigrassetto"/>
          <w:rFonts w:ascii="Book Antiqua" w:hAnsi="Book Antiqua"/>
          <w:b w:val="0"/>
          <w:bCs/>
          <w:szCs w:val="22"/>
        </w:rPr>
        <w:t>Il Dirigente</w:t>
      </w:r>
    </w:p>
    <w:p w14:paraId="6B4676BD" w14:textId="6208480D" w:rsidR="00E60CF5" w:rsidRPr="009E39B0" w:rsidRDefault="001A4371" w:rsidP="009E39B0">
      <w:pPr>
        <w:spacing w:after="120" w:line="340" w:lineRule="exact"/>
        <w:ind w:firstLine="0"/>
        <w:jc w:val="center"/>
        <w:rPr>
          <w:rFonts w:ascii="Book Antiqua" w:eastAsia="Times New Roman" w:hAnsi="Book Antiqua"/>
          <w:bCs/>
          <w:iCs/>
          <w:snapToGrid w:val="0"/>
          <w:spacing w:val="-4"/>
          <w:szCs w:val="22"/>
          <w:lang w:eastAsia="en-US"/>
        </w:rPr>
      </w:pPr>
      <w:r>
        <w:rPr>
          <w:rStyle w:val="Enfasigrassetto"/>
          <w:rFonts w:ascii="Book Antiqua" w:hAnsi="Book Antiqua"/>
          <w:b w:val="0"/>
          <w:bCs/>
          <w:szCs w:val="22"/>
        </w:rPr>
        <w:t xml:space="preserve">F.to </w:t>
      </w:r>
      <w:r w:rsidR="00916CCA" w:rsidRPr="009E39B0">
        <w:rPr>
          <w:rStyle w:val="Enfasigrassetto"/>
          <w:rFonts w:ascii="Book Antiqua" w:hAnsi="Book Antiqua"/>
          <w:b w:val="0"/>
          <w:bCs/>
          <w:szCs w:val="22"/>
        </w:rPr>
        <w:t>Renato PROZZO</w:t>
      </w:r>
      <w:r w:rsidR="00E60CF5" w:rsidRPr="009E39B0">
        <w:rPr>
          <w:rFonts w:ascii="Book Antiqua" w:eastAsia="Times New Roman" w:hAnsi="Book Antiqua"/>
          <w:bCs/>
          <w:iCs/>
          <w:snapToGrid w:val="0"/>
          <w:spacing w:val="-4"/>
          <w:szCs w:val="22"/>
          <w:lang w:eastAsia="en-US"/>
        </w:rPr>
        <w:t xml:space="preserve"> </w:t>
      </w:r>
    </w:p>
    <w:sectPr w:rsidR="00E60CF5" w:rsidRPr="009E39B0" w:rsidSect="00622E09">
      <w:footerReference w:type="default" r:id="rId10"/>
      <w:pgSz w:w="11906" w:h="16838" w:code="9"/>
      <w:pgMar w:top="1418" w:right="1134" w:bottom="1418"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2405" w14:textId="77777777" w:rsidR="005D441E" w:rsidRDefault="005D441E">
      <w:r>
        <w:separator/>
      </w:r>
    </w:p>
  </w:endnote>
  <w:endnote w:type="continuationSeparator" w:id="0">
    <w:p w14:paraId="30DFBBC5" w14:textId="77777777" w:rsidR="005D441E" w:rsidRDefault="005D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6C77" w14:textId="08B771DF" w:rsidR="00D8312D" w:rsidRDefault="00D8312D">
    <w:pPr>
      <w:pStyle w:val="Pidipagina"/>
      <w:jc w:val="center"/>
    </w:pPr>
    <w:r>
      <w:fldChar w:fldCharType="begin"/>
    </w:r>
    <w:r>
      <w:instrText>PAGE   \* MERGEFORMAT</w:instrText>
    </w:r>
    <w:r>
      <w:fldChar w:fldCharType="separate"/>
    </w:r>
    <w:r w:rsidR="000300BD">
      <w:rPr>
        <w:noProof/>
      </w:rPr>
      <w:t>9</w:t>
    </w:r>
    <w:r>
      <w:fldChar w:fldCharType="end"/>
    </w:r>
  </w:p>
  <w:p w14:paraId="06C7EF45" w14:textId="77777777" w:rsidR="00D8312D" w:rsidRDefault="00D831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7CF3" w14:textId="77777777" w:rsidR="005D441E" w:rsidRDefault="005D441E">
      <w:r>
        <w:separator/>
      </w:r>
    </w:p>
  </w:footnote>
  <w:footnote w:type="continuationSeparator" w:id="0">
    <w:p w14:paraId="5979965F" w14:textId="77777777" w:rsidR="005D441E" w:rsidRDefault="005D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893"/>
    <w:multiLevelType w:val="hybridMultilevel"/>
    <w:tmpl w:val="E618B0C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88752D3"/>
    <w:multiLevelType w:val="hybridMultilevel"/>
    <w:tmpl w:val="709461B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A191CA5"/>
    <w:multiLevelType w:val="hybridMultilevel"/>
    <w:tmpl w:val="1A407B9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868F2"/>
    <w:multiLevelType w:val="hybridMultilevel"/>
    <w:tmpl w:val="F9FA931A"/>
    <w:lvl w:ilvl="0" w:tplc="C74680DC">
      <w:start w:val="1"/>
      <w:numFmt w:val="lowerLetter"/>
      <w:lvlText w:val="%1)"/>
      <w:lvlJc w:val="left"/>
      <w:pPr>
        <w:ind w:left="927" w:hanging="360"/>
      </w:pPr>
      <w:rPr>
        <w:rFonts w:cs="Times New Roman" w:hint="default"/>
        <w:b/>
        <w:i/>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4" w15:restartNumberingAfterBreak="0">
    <w:nsid w:val="15EF2E2F"/>
    <w:multiLevelType w:val="hybridMultilevel"/>
    <w:tmpl w:val="C060BE94"/>
    <w:lvl w:ilvl="0" w:tplc="BB5E7CD0">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9725CDC"/>
    <w:multiLevelType w:val="hybridMultilevel"/>
    <w:tmpl w:val="746E16A0"/>
    <w:lvl w:ilvl="0" w:tplc="3F4CBB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DA54F3"/>
    <w:multiLevelType w:val="hybridMultilevel"/>
    <w:tmpl w:val="8824743C"/>
    <w:lvl w:ilvl="0" w:tplc="E82EDB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DF1CD9"/>
    <w:multiLevelType w:val="hybridMultilevel"/>
    <w:tmpl w:val="91701542"/>
    <w:lvl w:ilvl="0" w:tplc="8CF4EAE2">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8" w15:restartNumberingAfterBreak="0">
    <w:nsid w:val="28BE4761"/>
    <w:multiLevelType w:val="hybridMultilevel"/>
    <w:tmpl w:val="459A9CFA"/>
    <w:lvl w:ilvl="0" w:tplc="F69AF792">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2AB106DC"/>
    <w:multiLevelType w:val="hybridMultilevel"/>
    <w:tmpl w:val="37F89B62"/>
    <w:lvl w:ilvl="0" w:tplc="021C6550">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0" w15:restartNumberingAfterBreak="0">
    <w:nsid w:val="2D19447C"/>
    <w:multiLevelType w:val="hybridMultilevel"/>
    <w:tmpl w:val="0E981942"/>
    <w:lvl w:ilvl="0" w:tplc="6378819E">
      <w:start w:val="1"/>
      <w:numFmt w:val="upp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1" w15:restartNumberingAfterBreak="0">
    <w:nsid w:val="2DAE1A2D"/>
    <w:multiLevelType w:val="multilevel"/>
    <w:tmpl w:val="D40673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167D4A"/>
    <w:multiLevelType w:val="hybridMultilevel"/>
    <w:tmpl w:val="C8BA3DBC"/>
    <w:lvl w:ilvl="0" w:tplc="BF22FE7E">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35A70A5F"/>
    <w:multiLevelType w:val="hybridMultilevel"/>
    <w:tmpl w:val="8612D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874352"/>
    <w:multiLevelType w:val="hybridMultilevel"/>
    <w:tmpl w:val="D5BE6486"/>
    <w:lvl w:ilvl="0" w:tplc="13E216B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52878"/>
    <w:multiLevelType w:val="hybridMultilevel"/>
    <w:tmpl w:val="FE8A8E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AA1016"/>
    <w:multiLevelType w:val="hybridMultilevel"/>
    <w:tmpl w:val="C1E4BBEC"/>
    <w:lvl w:ilvl="0" w:tplc="ED625A3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F467D4"/>
    <w:multiLevelType w:val="hybridMultilevel"/>
    <w:tmpl w:val="0A1291B0"/>
    <w:lvl w:ilvl="0" w:tplc="E50E015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5D70B1"/>
    <w:multiLevelType w:val="hybridMultilevel"/>
    <w:tmpl w:val="3970E958"/>
    <w:lvl w:ilvl="0" w:tplc="CC14D89A">
      <w:start w:val="1"/>
      <w:numFmt w:val="lowerLetter"/>
      <w:lvlText w:val="%1)"/>
      <w:lvlJc w:val="left"/>
      <w:rPr>
        <w:rFonts w:ascii="Times New Roman" w:eastAsia="PMingLiU" w:hAnsi="Times New Roman" w:cs="Times New Roman" w:hint="default"/>
        <w:i w:val="0"/>
      </w:rPr>
    </w:lvl>
    <w:lvl w:ilvl="1" w:tplc="7604FE02">
      <w:start w:val="2"/>
      <w:numFmt w:val="lowerLetter"/>
      <w:lvlText w:val="%2)"/>
      <w:lvlJc w:val="left"/>
      <w:pPr>
        <w:tabs>
          <w:tab w:val="num" w:pos="4702"/>
        </w:tabs>
        <w:ind w:left="4702" w:hanging="360"/>
      </w:pPr>
      <w:rPr>
        <w:rFonts w:cs="Times New Roman" w:hint="default"/>
      </w:rPr>
    </w:lvl>
    <w:lvl w:ilvl="2" w:tplc="0410001B" w:tentative="1">
      <w:start w:val="1"/>
      <w:numFmt w:val="lowerRoman"/>
      <w:lvlText w:val="%3."/>
      <w:lvlJc w:val="right"/>
      <w:pPr>
        <w:ind w:left="5422" w:hanging="180"/>
      </w:pPr>
      <w:rPr>
        <w:rFonts w:cs="Times New Roman"/>
      </w:rPr>
    </w:lvl>
    <w:lvl w:ilvl="3" w:tplc="0410000F" w:tentative="1">
      <w:start w:val="1"/>
      <w:numFmt w:val="decimal"/>
      <w:lvlText w:val="%4."/>
      <w:lvlJc w:val="left"/>
      <w:pPr>
        <w:ind w:left="6142" w:hanging="360"/>
      </w:pPr>
      <w:rPr>
        <w:rFonts w:cs="Times New Roman"/>
      </w:rPr>
    </w:lvl>
    <w:lvl w:ilvl="4" w:tplc="04100019" w:tentative="1">
      <w:start w:val="1"/>
      <w:numFmt w:val="lowerLetter"/>
      <w:lvlText w:val="%5."/>
      <w:lvlJc w:val="left"/>
      <w:pPr>
        <w:ind w:left="6862" w:hanging="360"/>
      </w:pPr>
      <w:rPr>
        <w:rFonts w:cs="Times New Roman"/>
      </w:rPr>
    </w:lvl>
    <w:lvl w:ilvl="5" w:tplc="0410001B" w:tentative="1">
      <w:start w:val="1"/>
      <w:numFmt w:val="lowerRoman"/>
      <w:lvlText w:val="%6."/>
      <w:lvlJc w:val="right"/>
      <w:pPr>
        <w:ind w:left="7582" w:hanging="180"/>
      </w:pPr>
      <w:rPr>
        <w:rFonts w:cs="Times New Roman"/>
      </w:rPr>
    </w:lvl>
    <w:lvl w:ilvl="6" w:tplc="0410000F" w:tentative="1">
      <w:start w:val="1"/>
      <w:numFmt w:val="decimal"/>
      <w:lvlText w:val="%7."/>
      <w:lvlJc w:val="left"/>
      <w:pPr>
        <w:ind w:left="8302" w:hanging="360"/>
      </w:pPr>
      <w:rPr>
        <w:rFonts w:cs="Times New Roman"/>
      </w:rPr>
    </w:lvl>
    <w:lvl w:ilvl="7" w:tplc="04100019" w:tentative="1">
      <w:start w:val="1"/>
      <w:numFmt w:val="lowerLetter"/>
      <w:lvlText w:val="%8."/>
      <w:lvlJc w:val="left"/>
      <w:pPr>
        <w:ind w:left="9022" w:hanging="360"/>
      </w:pPr>
      <w:rPr>
        <w:rFonts w:cs="Times New Roman"/>
      </w:rPr>
    </w:lvl>
    <w:lvl w:ilvl="8" w:tplc="0410001B" w:tentative="1">
      <w:start w:val="1"/>
      <w:numFmt w:val="lowerRoman"/>
      <w:lvlText w:val="%9."/>
      <w:lvlJc w:val="right"/>
      <w:pPr>
        <w:ind w:left="9742" w:hanging="180"/>
      </w:pPr>
      <w:rPr>
        <w:rFonts w:cs="Times New Roman"/>
      </w:rPr>
    </w:lvl>
  </w:abstractNum>
  <w:abstractNum w:abstractNumId="19" w15:restartNumberingAfterBreak="0">
    <w:nsid w:val="531A4F8A"/>
    <w:multiLevelType w:val="hybridMultilevel"/>
    <w:tmpl w:val="5E0ECD32"/>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74B242E"/>
    <w:multiLevelType w:val="hybridMultilevel"/>
    <w:tmpl w:val="53D80916"/>
    <w:lvl w:ilvl="0" w:tplc="E82EDB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1" w15:restartNumberingAfterBreak="0">
    <w:nsid w:val="57F47060"/>
    <w:multiLevelType w:val="hybridMultilevel"/>
    <w:tmpl w:val="AA0058AC"/>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83A7151"/>
    <w:multiLevelType w:val="hybridMultilevel"/>
    <w:tmpl w:val="6D6EA63C"/>
    <w:lvl w:ilvl="0" w:tplc="E70A13FE">
      <w:start w:val="1"/>
      <w:numFmt w:val="bullet"/>
      <w:lvlText w:val=""/>
      <w:lvlJc w:val="left"/>
      <w:pPr>
        <w:tabs>
          <w:tab w:val="num" w:pos="709"/>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86E4AE3"/>
    <w:multiLevelType w:val="hybridMultilevel"/>
    <w:tmpl w:val="465ED0A2"/>
    <w:lvl w:ilvl="0" w:tplc="E82EDB7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5FA92F37"/>
    <w:multiLevelType w:val="hybridMultilevel"/>
    <w:tmpl w:val="45C86260"/>
    <w:lvl w:ilvl="0" w:tplc="88FE1C62">
      <w:start w:val="1"/>
      <w:numFmt w:val="decimal"/>
      <w:lvlText w:val="%1."/>
      <w:lvlJc w:val="left"/>
      <w:pPr>
        <w:tabs>
          <w:tab w:val="num" w:pos="709"/>
        </w:tabs>
        <w:ind w:left="0" w:firstLine="0"/>
      </w:pPr>
      <w:rPr>
        <w:rFonts w:hint="default"/>
        <w:b/>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25" w15:restartNumberingAfterBreak="0">
    <w:nsid w:val="5FB9035D"/>
    <w:multiLevelType w:val="hybridMultilevel"/>
    <w:tmpl w:val="77B626D0"/>
    <w:lvl w:ilvl="0" w:tplc="758E5FE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66581DBD"/>
    <w:multiLevelType w:val="hybridMultilevel"/>
    <w:tmpl w:val="4644FD6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93F5A33"/>
    <w:multiLevelType w:val="hybridMultilevel"/>
    <w:tmpl w:val="12E06F98"/>
    <w:lvl w:ilvl="0" w:tplc="4FA0256C">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6CD20274"/>
    <w:multiLevelType w:val="multilevel"/>
    <w:tmpl w:val="7A36FBA4"/>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795DEE"/>
    <w:multiLevelType w:val="hybridMultilevel"/>
    <w:tmpl w:val="B1A6B8B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781541D"/>
    <w:multiLevelType w:val="hybridMultilevel"/>
    <w:tmpl w:val="4BFA21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E9F67AC"/>
    <w:multiLevelType w:val="hybridMultilevel"/>
    <w:tmpl w:val="1BF876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9"/>
  </w:num>
  <w:num w:numId="5">
    <w:abstractNumId w:val="10"/>
  </w:num>
  <w:num w:numId="6">
    <w:abstractNumId w:val="7"/>
  </w:num>
  <w:num w:numId="7">
    <w:abstractNumId w:val="29"/>
  </w:num>
  <w:num w:numId="8">
    <w:abstractNumId w:val="18"/>
  </w:num>
  <w:num w:numId="9">
    <w:abstractNumId w:val="11"/>
  </w:num>
  <w:num w:numId="10">
    <w:abstractNumId w:val="14"/>
  </w:num>
  <w:num w:numId="11">
    <w:abstractNumId w:val="28"/>
  </w:num>
  <w:num w:numId="12">
    <w:abstractNumId w:val="27"/>
  </w:num>
  <w:num w:numId="13">
    <w:abstractNumId w:val="4"/>
  </w:num>
  <w:num w:numId="14">
    <w:abstractNumId w:val="24"/>
  </w:num>
  <w:num w:numId="15">
    <w:abstractNumId w:val="22"/>
  </w:num>
  <w:num w:numId="16">
    <w:abstractNumId w:val="30"/>
  </w:num>
  <w:num w:numId="17">
    <w:abstractNumId w:val="19"/>
  </w:num>
  <w:num w:numId="18">
    <w:abstractNumId w:val="21"/>
  </w:num>
  <w:num w:numId="19">
    <w:abstractNumId w:val="15"/>
  </w:num>
  <w:num w:numId="20">
    <w:abstractNumId w:val="2"/>
  </w:num>
  <w:num w:numId="21">
    <w:abstractNumId w:val="13"/>
  </w:num>
  <w:num w:numId="22">
    <w:abstractNumId w:val="25"/>
  </w:num>
  <w:num w:numId="23">
    <w:abstractNumId w:val="17"/>
  </w:num>
  <w:num w:numId="24">
    <w:abstractNumId w:val="16"/>
  </w:num>
  <w:num w:numId="25">
    <w:abstractNumId w:val="26"/>
  </w:num>
  <w:num w:numId="26">
    <w:abstractNumId w:val="0"/>
  </w:num>
  <w:num w:numId="27">
    <w:abstractNumId w:val="1"/>
  </w:num>
  <w:num w:numId="28">
    <w:abstractNumId w:val="23"/>
  </w:num>
  <w:num w:numId="29">
    <w:abstractNumId w:val="6"/>
  </w:num>
  <w:num w:numId="30">
    <w:abstractNumId w:val="20"/>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27"/>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80"/>
    <w:rsid w:val="000054BA"/>
    <w:rsid w:val="0000644B"/>
    <w:rsid w:val="0001107F"/>
    <w:rsid w:val="00011E9A"/>
    <w:rsid w:val="0001244F"/>
    <w:rsid w:val="000149B6"/>
    <w:rsid w:val="00014B97"/>
    <w:rsid w:val="00014DE1"/>
    <w:rsid w:val="0001564D"/>
    <w:rsid w:val="00022730"/>
    <w:rsid w:val="000237DC"/>
    <w:rsid w:val="00027790"/>
    <w:rsid w:val="000300BD"/>
    <w:rsid w:val="0003202A"/>
    <w:rsid w:val="00032981"/>
    <w:rsid w:val="00034E31"/>
    <w:rsid w:val="00036806"/>
    <w:rsid w:val="00041810"/>
    <w:rsid w:val="00041F8A"/>
    <w:rsid w:val="00042190"/>
    <w:rsid w:val="00043052"/>
    <w:rsid w:val="000478C6"/>
    <w:rsid w:val="000562F7"/>
    <w:rsid w:val="000563D9"/>
    <w:rsid w:val="00056F0C"/>
    <w:rsid w:val="00062536"/>
    <w:rsid w:val="000627C6"/>
    <w:rsid w:val="00062E5F"/>
    <w:rsid w:val="0006391E"/>
    <w:rsid w:val="00064C29"/>
    <w:rsid w:val="00067183"/>
    <w:rsid w:val="0007007B"/>
    <w:rsid w:val="000704B1"/>
    <w:rsid w:val="00070E76"/>
    <w:rsid w:val="00074AAF"/>
    <w:rsid w:val="000857B1"/>
    <w:rsid w:val="000860B3"/>
    <w:rsid w:val="00087725"/>
    <w:rsid w:val="00087A71"/>
    <w:rsid w:val="000902FD"/>
    <w:rsid w:val="00091025"/>
    <w:rsid w:val="00093D97"/>
    <w:rsid w:val="00093F34"/>
    <w:rsid w:val="00097A50"/>
    <w:rsid w:val="000A03C9"/>
    <w:rsid w:val="000A1684"/>
    <w:rsid w:val="000A2843"/>
    <w:rsid w:val="000A314E"/>
    <w:rsid w:val="000A3BBF"/>
    <w:rsid w:val="000A4816"/>
    <w:rsid w:val="000A4B9C"/>
    <w:rsid w:val="000A4D54"/>
    <w:rsid w:val="000A5ECE"/>
    <w:rsid w:val="000A6B4E"/>
    <w:rsid w:val="000B0196"/>
    <w:rsid w:val="000B079A"/>
    <w:rsid w:val="000B192D"/>
    <w:rsid w:val="000B5C90"/>
    <w:rsid w:val="000B71F1"/>
    <w:rsid w:val="000C0C90"/>
    <w:rsid w:val="000C0CF4"/>
    <w:rsid w:val="000C1057"/>
    <w:rsid w:val="000C1258"/>
    <w:rsid w:val="000C2ECC"/>
    <w:rsid w:val="000C355B"/>
    <w:rsid w:val="000C3B3A"/>
    <w:rsid w:val="000C638A"/>
    <w:rsid w:val="000D1DBA"/>
    <w:rsid w:val="000D5013"/>
    <w:rsid w:val="000E034C"/>
    <w:rsid w:val="000E09A6"/>
    <w:rsid w:val="000E11B7"/>
    <w:rsid w:val="000E1E35"/>
    <w:rsid w:val="000E3146"/>
    <w:rsid w:val="000E6845"/>
    <w:rsid w:val="000E684F"/>
    <w:rsid w:val="000F1EA9"/>
    <w:rsid w:val="000F3677"/>
    <w:rsid w:val="000F6822"/>
    <w:rsid w:val="000F6E58"/>
    <w:rsid w:val="000F7B9F"/>
    <w:rsid w:val="000F7DCE"/>
    <w:rsid w:val="001025F6"/>
    <w:rsid w:val="00103D6B"/>
    <w:rsid w:val="00104A6F"/>
    <w:rsid w:val="00106827"/>
    <w:rsid w:val="001133B3"/>
    <w:rsid w:val="00114A19"/>
    <w:rsid w:val="00120069"/>
    <w:rsid w:val="00120431"/>
    <w:rsid w:val="00120BF8"/>
    <w:rsid w:val="00120E3C"/>
    <w:rsid w:val="0012366F"/>
    <w:rsid w:val="00123A63"/>
    <w:rsid w:val="001240F7"/>
    <w:rsid w:val="00130A1D"/>
    <w:rsid w:val="00131310"/>
    <w:rsid w:val="001340FC"/>
    <w:rsid w:val="00135D32"/>
    <w:rsid w:val="0014168B"/>
    <w:rsid w:val="00142ECF"/>
    <w:rsid w:val="00143E9D"/>
    <w:rsid w:val="00144F6E"/>
    <w:rsid w:val="0014596F"/>
    <w:rsid w:val="00145ED4"/>
    <w:rsid w:val="001520C1"/>
    <w:rsid w:val="00155FAB"/>
    <w:rsid w:val="0016291B"/>
    <w:rsid w:val="00163632"/>
    <w:rsid w:val="00163F2D"/>
    <w:rsid w:val="00166AF1"/>
    <w:rsid w:val="00166EF6"/>
    <w:rsid w:val="00170D0D"/>
    <w:rsid w:val="00170DF4"/>
    <w:rsid w:val="00171B65"/>
    <w:rsid w:val="00171B7E"/>
    <w:rsid w:val="00171E70"/>
    <w:rsid w:val="00172433"/>
    <w:rsid w:val="001730B6"/>
    <w:rsid w:val="00175972"/>
    <w:rsid w:val="00176858"/>
    <w:rsid w:val="00176A4E"/>
    <w:rsid w:val="00177691"/>
    <w:rsid w:val="0018302D"/>
    <w:rsid w:val="00184C77"/>
    <w:rsid w:val="00186D69"/>
    <w:rsid w:val="00190203"/>
    <w:rsid w:val="00191B88"/>
    <w:rsid w:val="0019234D"/>
    <w:rsid w:val="00192B79"/>
    <w:rsid w:val="00193495"/>
    <w:rsid w:val="00193AA3"/>
    <w:rsid w:val="0019543B"/>
    <w:rsid w:val="00195E55"/>
    <w:rsid w:val="00197C14"/>
    <w:rsid w:val="001A1A7F"/>
    <w:rsid w:val="001A1CE8"/>
    <w:rsid w:val="001A2FE3"/>
    <w:rsid w:val="001A3C5C"/>
    <w:rsid w:val="001A4371"/>
    <w:rsid w:val="001A4C6D"/>
    <w:rsid w:val="001A576D"/>
    <w:rsid w:val="001B0D6A"/>
    <w:rsid w:val="001B11FA"/>
    <w:rsid w:val="001B221F"/>
    <w:rsid w:val="001B2D2B"/>
    <w:rsid w:val="001C0618"/>
    <w:rsid w:val="001C064E"/>
    <w:rsid w:val="001C0C9C"/>
    <w:rsid w:val="001C16A3"/>
    <w:rsid w:val="001C28BE"/>
    <w:rsid w:val="001C3F41"/>
    <w:rsid w:val="001C75BA"/>
    <w:rsid w:val="001D1C85"/>
    <w:rsid w:val="001D4079"/>
    <w:rsid w:val="001D7B0A"/>
    <w:rsid w:val="001E02AA"/>
    <w:rsid w:val="001E2D29"/>
    <w:rsid w:val="001E4CC1"/>
    <w:rsid w:val="001E639F"/>
    <w:rsid w:val="001F13B3"/>
    <w:rsid w:val="001F2BB6"/>
    <w:rsid w:val="001F3BC8"/>
    <w:rsid w:val="001F48B2"/>
    <w:rsid w:val="001F51D3"/>
    <w:rsid w:val="001F55D9"/>
    <w:rsid w:val="001F6C6B"/>
    <w:rsid w:val="001F7B44"/>
    <w:rsid w:val="00205B62"/>
    <w:rsid w:val="00206153"/>
    <w:rsid w:val="002102BE"/>
    <w:rsid w:val="0021564F"/>
    <w:rsid w:val="00215C19"/>
    <w:rsid w:val="00221120"/>
    <w:rsid w:val="002216AC"/>
    <w:rsid w:val="00222770"/>
    <w:rsid w:val="00222895"/>
    <w:rsid w:val="00222914"/>
    <w:rsid w:val="00226967"/>
    <w:rsid w:val="0023039F"/>
    <w:rsid w:val="0023377D"/>
    <w:rsid w:val="00234F25"/>
    <w:rsid w:val="00237722"/>
    <w:rsid w:val="0024000F"/>
    <w:rsid w:val="00240CDB"/>
    <w:rsid w:val="0024137B"/>
    <w:rsid w:val="00245EB0"/>
    <w:rsid w:val="00246319"/>
    <w:rsid w:val="00247CCC"/>
    <w:rsid w:val="00247EE7"/>
    <w:rsid w:val="00251B07"/>
    <w:rsid w:val="00252736"/>
    <w:rsid w:val="00252781"/>
    <w:rsid w:val="00252915"/>
    <w:rsid w:val="00254D8A"/>
    <w:rsid w:val="00263EBF"/>
    <w:rsid w:val="00264FA7"/>
    <w:rsid w:val="00264FD6"/>
    <w:rsid w:val="00265381"/>
    <w:rsid w:val="002659FF"/>
    <w:rsid w:val="00267676"/>
    <w:rsid w:val="0027039E"/>
    <w:rsid w:val="002717D2"/>
    <w:rsid w:val="00274665"/>
    <w:rsid w:val="00276E8A"/>
    <w:rsid w:val="002771CF"/>
    <w:rsid w:val="0028608B"/>
    <w:rsid w:val="00286723"/>
    <w:rsid w:val="00286CD3"/>
    <w:rsid w:val="00293914"/>
    <w:rsid w:val="0029451E"/>
    <w:rsid w:val="00294D7A"/>
    <w:rsid w:val="002961C9"/>
    <w:rsid w:val="00297349"/>
    <w:rsid w:val="002A21E1"/>
    <w:rsid w:val="002A314E"/>
    <w:rsid w:val="002A560F"/>
    <w:rsid w:val="002A777D"/>
    <w:rsid w:val="002B09E4"/>
    <w:rsid w:val="002B0C27"/>
    <w:rsid w:val="002B30F4"/>
    <w:rsid w:val="002B365E"/>
    <w:rsid w:val="002B6E69"/>
    <w:rsid w:val="002B6F9E"/>
    <w:rsid w:val="002C0439"/>
    <w:rsid w:val="002C17DD"/>
    <w:rsid w:val="002C3E86"/>
    <w:rsid w:val="002C4E08"/>
    <w:rsid w:val="002C6416"/>
    <w:rsid w:val="002D41FA"/>
    <w:rsid w:val="002D62EF"/>
    <w:rsid w:val="002E0414"/>
    <w:rsid w:val="002E1A23"/>
    <w:rsid w:val="002E440F"/>
    <w:rsid w:val="002F0108"/>
    <w:rsid w:val="002F38F2"/>
    <w:rsid w:val="00301036"/>
    <w:rsid w:val="00301B8A"/>
    <w:rsid w:val="003058EE"/>
    <w:rsid w:val="003112F3"/>
    <w:rsid w:val="00311612"/>
    <w:rsid w:val="00311F10"/>
    <w:rsid w:val="00320254"/>
    <w:rsid w:val="0033161F"/>
    <w:rsid w:val="0033297B"/>
    <w:rsid w:val="003348CC"/>
    <w:rsid w:val="00334AE7"/>
    <w:rsid w:val="00341F64"/>
    <w:rsid w:val="00343C5F"/>
    <w:rsid w:val="00344164"/>
    <w:rsid w:val="00344835"/>
    <w:rsid w:val="0034798E"/>
    <w:rsid w:val="00352EFA"/>
    <w:rsid w:val="003544CF"/>
    <w:rsid w:val="00354997"/>
    <w:rsid w:val="00354BFA"/>
    <w:rsid w:val="003558B1"/>
    <w:rsid w:val="003613BC"/>
    <w:rsid w:val="00362793"/>
    <w:rsid w:val="00362917"/>
    <w:rsid w:val="003653EE"/>
    <w:rsid w:val="00365FB1"/>
    <w:rsid w:val="0036625C"/>
    <w:rsid w:val="00366CCD"/>
    <w:rsid w:val="00367AE0"/>
    <w:rsid w:val="00371945"/>
    <w:rsid w:val="00372507"/>
    <w:rsid w:val="00372CF7"/>
    <w:rsid w:val="0037454B"/>
    <w:rsid w:val="0037461D"/>
    <w:rsid w:val="00376BB0"/>
    <w:rsid w:val="00376BE2"/>
    <w:rsid w:val="00380FC8"/>
    <w:rsid w:val="00382720"/>
    <w:rsid w:val="003828EF"/>
    <w:rsid w:val="0038752B"/>
    <w:rsid w:val="00387BE9"/>
    <w:rsid w:val="003917A1"/>
    <w:rsid w:val="003920DD"/>
    <w:rsid w:val="00393D7B"/>
    <w:rsid w:val="00393F52"/>
    <w:rsid w:val="00394397"/>
    <w:rsid w:val="00394471"/>
    <w:rsid w:val="003A0E9A"/>
    <w:rsid w:val="003A1708"/>
    <w:rsid w:val="003A4212"/>
    <w:rsid w:val="003A4565"/>
    <w:rsid w:val="003A4D91"/>
    <w:rsid w:val="003A4DD3"/>
    <w:rsid w:val="003B66B3"/>
    <w:rsid w:val="003B6F61"/>
    <w:rsid w:val="003C1980"/>
    <w:rsid w:val="003C2453"/>
    <w:rsid w:val="003C2583"/>
    <w:rsid w:val="003C6D20"/>
    <w:rsid w:val="003D086F"/>
    <w:rsid w:val="003D17F9"/>
    <w:rsid w:val="003D26AB"/>
    <w:rsid w:val="003D27A3"/>
    <w:rsid w:val="003D2FF7"/>
    <w:rsid w:val="003D410C"/>
    <w:rsid w:val="003D6982"/>
    <w:rsid w:val="003D7EF9"/>
    <w:rsid w:val="003E277F"/>
    <w:rsid w:val="003E2A85"/>
    <w:rsid w:val="003E4F41"/>
    <w:rsid w:val="003E5060"/>
    <w:rsid w:val="003E5DE4"/>
    <w:rsid w:val="003E71D4"/>
    <w:rsid w:val="003E775A"/>
    <w:rsid w:val="003F0B2C"/>
    <w:rsid w:val="003F243C"/>
    <w:rsid w:val="003F677B"/>
    <w:rsid w:val="003F76A6"/>
    <w:rsid w:val="00404029"/>
    <w:rsid w:val="004074EC"/>
    <w:rsid w:val="004075F1"/>
    <w:rsid w:val="004139D4"/>
    <w:rsid w:val="0041725E"/>
    <w:rsid w:val="004213BC"/>
    <w:rsid w:val="004302E9"/>
    <w:rsid w:val="00430CA7"/>
    <w:rsid w:val="00431834"/>
    <w:rsid w:val="00432E9E"/>
    <w:rsid w:val="00433277"/>
    <w:rsid w:val="004346EE"/>
    <w:rsid w:val="00435994"/>
    <w:rsid w:val="00440BAE"/>
    <w:rsid w:val="00445174"/>
    <w:rsid w:val="0044665B"/>
    <w:rsid w:val="00450BAA"/>
    <w:rsid w:val="00452472"/>
    <w:rsid w:val="00453194"/>
    <w:rsid w:val="00457253"/>
    <w:rsid w:val="00464015"/>
    <w:rsid w:val="00464E48"/>
    <w:rsid w:val="0047029E"/>
    <w:rsid w:val="00476655"/>
    <w:rsid w:val="004817D2"/>
    <w:rsid w:val="00483DA3"/>
    <w:rsid w:val="0048406E"/>
    <w:rsid w:val="004857BD"/>
    <w:rsid w:val="00487CE7"/>
    <w:rsid w:val="00492CAF"/>
    <w:rsid w:val="004941E2"/>
    <w:rsid w:val="00494CAB"/>
    <w:rsid w:val="00495086"/>
    <w:rsid w:val="004962CA"/>
    <w:rsid w:val="0049785D"/>
    <w:rsid w:val="00497A02"/>
    <w:rsid w:val="004A3DD3"/>
    <w:rsid w:val="004A6BB4"/>
    <w:rsid w:val="004B5A6B"/>
    <w:rsid w:val="004B6E09"/>
    <w:rsid w:val="004B7189"/>
    <w:rsid w:val="004B7FDF"/>
    <w:rsid w:val="004D10A0"/>
    <w:rsid w:val="004D1210"/>
    <w:rsid w:val="004D1A95"/>
    <w:rsid w:val="004D2D0B"/>
    <w:rsid w:val="004D2D89"/>
    <w:rsid w:val="004D4ED8"/>
    <w:rsid w:val="004D72E3"/>
    <w:rsid w:val="004D7C9F"/>
    <w:rsid w:val="004E361D"/>
    <w:rsid w:val="004F3088"/>
    <w:rsid w:val="004F314F"/>
    <w:rsid w:val="004F427E"/>
    <w:rsid w:val="004F7AC4"/>
    <w:rsid w:val="004F7FEA"/>
    <w:rsid w:val="005008BE"/>
    <w:rsid w:val="00502E44"/>
    <w:rsid w:val="0050349F"/>
    <w:rsid w:val="00507672"/>
    <w:rsid w:val="00507758"/>
    <w:rsid w:val="005104D9"/>
    <w:rsid w:val="00510A95"/>
    <w:rsid w:val="00510E70"/>
    <w:rsid w:val="005131B5"/>
    <w:rsid w:val="005134E0"/>
    <w:rsid w:val="00514732"/>
    <w:rsid w:val="00517DDB"/>
    <w:rsid w:val="0052060F"/>
    <w:rsid w:val="00520F7B"/>
    <w:rsid w:val="00526CC5"/>
    <w:rsid w:val="0053032D"/>
    <w:rsid w:val="0053262D"/>
    <w:rsid w:val="005361B0"/>
    <w:rsid w:val="00537CC7"/>
    <w:rsid w:val="0054025A"/>
    <w:rsid w:val="00540A2F"/>
    <w:rsid w:val="00540B1C"/>
    <w:rsid w:val="005429AD"/>
    <w:rsid w:val="005432C5"/>
    <w:rsid w:val="00543E26"/>
    <w:rsid w:val="00545B99"/>
    <w:rsid w:val="00553ACD"/>
    <w:rsid w:val="0055688A"/>
    <w:rsid w:val="00561691"/>
    <w:rsid w:val="00562692"/>
    <w:rsid w:val="00564B8D"/>
    <w:rsid w:val="0057199D"/>
    <w:rsid w:val="00571FF1"/>
    <w:rsid w:val="00572200"/>
    <w:rsid w:val="005741FB"/>
    <w:rsid w:val="005752E7"/>
    <w:rsid w:val="005830F6"/>
    <w:rsid w:val="00583582"/>
    <w:rsid w:val="005841E8"/>
    <w:rsid w:val="00585AC7"/>
    <w:rsid w:val="00586BA2"/>
    <w:rsid w:val="00590368"/>
    <w:rsid w:val="0059291F"/>
    <w:rsid w:val="00593886"/>
    <w:rsid w:val="00593FFA"/>
    <w:rsid w:val="005963A2"/>
    <w:rsid w:val="005A0E85"/>
    <w:rsid w:val="005A184D"/>
    <w:rsid w:val="005A583E"/>
    <w:rsid w:val="005A5C52"/>
    <w:rsid w:val="005A7381"/>
    <w:rsid w:val="005B42DE"/>
    <w:rsid w:val="005B5BDD"/>
    <w:rsid w:val="005B62A9"/>
    <w:rsid w:val="005B6538"/>
    <w:rsid w:val="005C272C"/>
    <w:rsid w:val="005C2C39"/>
    <w:rsid w:val="005C3D38"/>
    <w:rsid w:val="005C58E0"/>
    <w:rsid w:val="005D0B2F"/>
    <w:rsid w:val="005D441E"/>
    <w:rsid w:val="005D5CF9"/>
    <w:rsid w:val="005D604F"/>
    <w:rsid w:val="005E11E9"/>
    <w:rsid w:val="005E3404"/>
    <w:rsid w:val="005E3579"/>
    <w:rsid w:val="005E39D9"/>
    <w:rsid w:val="005E6BEB"/>
    <w:rsid w:val="005E786D"/>
    <w:rsid w:val="005F28DC"/>
    <w:rsid w:val="005F3B9F"/>
    <w:rsid w:val="005F3C71"/>
    <w:rsid w:val="005F3E2F"/>
    <w:rsid w:val="005F6B6E"/>
    <w:rsid w:val="00602F97"/>
    <w:rsid w:val="006049EA"/>
    <w:rsid w:val="0060520B"/>
    <w:rsid w:val="00605239"/>
    <w:rsid w:val="0060653E"/>
    <w:rsid w:val="00606AC2"/>
    <w:rsid w:val="006132C2"/>
    <w:rsid w:val="00616E9B"/>
    <w:rsid w:val="00622B85"/>
    <w:rsid w:val="00622E09"/>
    <w:rsid w:val="00623969"/>
    <w:rsid w:val="00624A38"/>
    <w:rsid w:val="00625487"/>
    <w:rsid w:val="00627C1F"/>
    <w:rsid w:val="006311E0"/>
    <w:rsid w:val="006318AA"/>
    <w:rsid w:val="00641054"/>
    <w:rsid w:val="006437EC"/>
    <w:rsid w:val="006438F6"/>
    <w:rsid w:val="006455BD"/>
    <w:rsid w:val="00645BD0"/>
    <w:rsid w:val="00647136"/>
    <w:rsid w:val="006537B5"/>
    <w:rsid w:val="00653A36"/>
    <w:rsid w:val="006547C0"/>
    <w:rsid w:val="006553A6"/>
    <w:rsid w:val="00655742"/>
    <w:rsid w:val="00655AB3"/>
    <w:rsid w:val="00655EA0"/>
    <w:rsid w:val="00656B7F"/>
    <w:rsid w:val="00657BB5"/>
    <w:rsid w:val="006632AB"/>
    <w:rsid w:val="00663345"/>
    <w:rsid w:val="00666C07"/>
    <w:rsid w:val="00670784"/>
    <w:rsid w:val="006724A1"/>
    <w:rsid w:val="006734DF"/>
    <w:rsid w:val="0067421B"/>
    <w:rsid w:val="006814A4"/>
    <w:rsid w:val="00683769"/>
    <w:rsid w:val="00683C62"/>
    <w:rsid w:val="00684DD8"/>
    <w:rsid w:val="00684EFB"/>
    <w:rsid w:val="00686EDD"/>
    <w:rsid w:val="00687FB4"/>
    <w:rsid w:val="00690A7C"/>
    <w:rsid w:val="0069409B"/>
    <w:rsid w:val="00695B21"/>
    <w:rsid w:val="00696F23"/>
    <w:rsid w:val="006A1F23"/>
    <w:rsid w:val="006A2308"/>
    <w:rsid w:val="006A291C"/>
    <w:rsid w:val="006B4F08"/>
    <w:rsid w:val="006B5A04"/>
    <w:rsid w:val="006B738C"/>
    <w:rsid w:val="006C03DA"/>
    <w:rsid w:val="006C1F1A"/>
    <w:rsid w:val="006C2B08"/>
    <w:rsid w:val="006C38A1"/>
    <w:rsid w:val="006C4FC3"/>
    <w:rsid w:val="006D0917"/>
    <w:rsid w:val="006D12F8"/>
    <w:rsid w:val="006D1A6E"/>
    <w:rsid w:val="006D67C3"/>
    <w:rsid w:val="006E08B2"/>
    <w:rsid w:val="006E193E"/>
    <w:rsid w:val="006E253C"/>
    <w:rsid w:val="006E32D8"/>
    <w:rsid w:val="006E3AB4"/>
    <w:rsid w:val="006F100A"/>
    <w:rsid w:val="006F42F5"/>
    <w:rsid w:val="006F526C"/>
    <w:rsid w:val="006F5D2F"/>
    <w:rsid w:val="0070008E"/>
    <w:rsid w:val="007023BE"/>
    <w:rsid w:val="00703F01"/>
    <w:rsid w:val="0070469A"/>
    <w:rsid w:val="007052A1"/>
    <w:rsid w:val="007074EF"/>
    <w:rsid w:val="0070785B"/>
    <w:rsid w:val="00710735"/>
    <w:rsid w:val="007111B0"/>
    <w:rsid w:val="00711CC0"/>
    <w:rsid w:val="00711EDA"/>
    <w:rsid w:val="007152C9"/>
    <w:rsid w:val="00715B5B"/>
    <w:rsid w:val="00716902"/>
    <w:rsid w:val="00716C08"/>
    <w:rsid w:val="00717485"/>
    <w:rsid w:val="007268D8"/>
    <w:rsid w:val="00730517"/>
    <w:rsid w:val="007311A7"/>
    <w:rsid w:val="00731750"/>
    <w:rsid w:val="0073184C"/>
    <w:rsid w:val="00732CE2"/>
    <w:rsid w:val="0073599F"/>
    <w:rsid w:val="0073686B"/>
    <w:rsid w:val="007379F8"/>
    <w:rsid w:val="007435E9"/>
    <w:rsid w:val="0074590C"/>
    <w:rsid w:val="0075596F"/>
    <w:rsid w:val="007576C3"/>
    <w:rsid w:val="0076064D"/>
    <w:rsid w:val="007623BF"/>
    <w:rsid w:val="00763171"/>
    <w:rsid w:val="007656BD"/>
    <w:rsid w:val="007706F7"/>
    <w:rsid w:val="00771BDF"/>
    <w:rsid w:val="00771D47"/>
    <w:rsid w:val="007726AE"/>
    <w:rsid w:val="00772E31"/>
    <w:rsid w:val="00775816"/>
    <w:rsid w:val="00775D7D"/>
    <w:rsid w:val="00777159"/>
    <w:rsid w:val="00777A5C"/>
    <w:rsid w:val="00777CF7"/>
    <w:rsid w:val="00781D9E"/>
    <w:rsid w:val="0078519A"/>
    <w:rsid w:val="00785B61"/>
    <w:rsid w:val="00785BCA"/>
    <w:rsid w:val="00787E3E"/>
    <w:rsid w:val="00791673"/>
    <w:rsid w:val="007A03DC"/>
    <w:rsid w:val="007A2DDA"/>
    <w:rsid w:val="007A485C"/>
    <w:rsid w:val="007A6B42"/>
    <w:rsid w:val="007A716B"/>
    <w:rsid w:val="007A7864"/>
    <w:rsid w:val="007B156C"/>
    <w:rsid w:val="007B3AE2"/>
    <w:rsid w:val="007B462D"/>
    <w:rsid w:val="007B500B"/>
    <w:rsid w:val="007B53EA"/>
    <w:rsid w:val="007B6FAB"/>
    <w:rsid w:val="007B72D4"/>
    <w:rsid w:val="007C0D4A"/>
    <w:rsid w:val="007C2779"/>
    <w:rsid w:val="007C70A5"/>
    <w:rsid w:val="007D0DF7"/>
    <w:rsid w:val="007D18AF"/>
    <w:rsid w:val="007D79D6"/>
    <w:rsid w:val="007E00A5"/>
    <w:rsid w:val="007E11F1"/>
    <w:rsid w:val="007E1243"/>
    <w:rsid w:val="007E1CC0"/>
    <w:rsid w:val="007E3B4A"/>
    <w:rsid w:val="007E4A97"/>
    <w:rsid w:val="007E53EF"/>
    <w:rsid w:val="007E5572"/>
    <w:rsid w:val="007F1B4C"/>
    <w:rsid w:val="007F3478"/>
    <w:rsid w:val="007F6F54"/>
    <w:rsid w:val="0080239A"/>
    <w:rsid w:val="0080446C"/>
    <w:rsid w:val="00811AE0"/>
    <w:rsid w:val="008132BC"/>
    <w:rsid w:val="008172EF"/>
    <w:rsid w:val="008203CB"/>
    <w:rsid w:val="00822987"/>
    <w:rsid w:val="008246C6"/>
    <w:rsid w:val="00826224"/>
    <w:rsid w:val="008274A1"/>
    <w:rsid w:val="00827815"/>
    <w:rsid w:val="00832C34"/>
    <w:rsid w:val="008401AB"/>
    <w:rsid w:val="00843A11"/>
    <w:rsid w:val="00844383"/>
    <w:rsid w:val="008444C9"/>
    <w:rsid w:val="00845E27"/>
    <w:rsid w:val="008500CE"/>
    <w:rsid w:val="00852088"/>
    <w:rsid w:val="00854B84"/>
    <w:rsid w:val="008570AA"/>
    <w:rsid w:val="00860C96"/>
    <w:rsid w:val="0086177A"/>
    <w:rsid w:val="00861A4D"/>
    <w:rsid w:val="00861F25"/>
    <w:rsid w:val="00862FF2"/>
    <w:rsid w:val="00866089"/>
    <w:rsid w:val="00870765"/>
    <w:rsid w:val="00871805"/>
    <w:rsid w:val="00871FEA"/>
    <w:rsid w:val="0087451E"/>
    <w:rsid w:val="00874703"/>
    <w:rsid w:val="00875B7B"/>
    <w:rsid w:val="00875C93"/>
    <w:rsid w:val="00875CE0"/>
    <w:rsid w:val="008763F5"/>
    <w:rsid w:val="008802AD"/>
    <w:rsid w:val="00881862"/>
    <w:rsid w:val="00882569"/>
    <w:rsid w:val="00882FBC"/>
    <w:rsid w:val="00884D65"/>
    <w:rsid w:val="0089151E"/>
    <w:rsid w:val="00891AFF"/>
    <w:rsid w:val="008927C8"/>
    <w:rsid w:val="00893B17"/>
    <w:rsid w:val="00894CD6"/>
    <w:rsid w:val="00894EA6"/>
    <w:rsid w:val="00895ED3"/>
    <w:rsid w:val="008A0679"/>
    <w:rsid w:val="008A2AAC"/>
    <w:rsid w:val="008A2FE7"/>
    <w:rsid w:val="008A370D"/>
    <w:rsid w:val="008A44E6"/>
    <w:rsid w:val="008A4822"/>
    <w:rsid w:val="008A6964"/>
    <w:rsid w:val="008A6F57"/>
    <w:rsid w:val="008A70DA"/>
    <w:rsid w:val="008B085A"/>
    <w:rsid w:val="008B08D5"/>
    <w:rsid w:val="008B3FC4"/>
    <w:rsid w:val="008B7D29"/>
    <w:rsid w:val="008B7E76"/>
    <w:rsid w:val="008C21E5"/>
    <w:rsid w:val="008C5C66"/>
    <w:rsid w:val="008C71B5"/>
    <w:rsid w:val="008C79C0"/>
    <w:rsid w:val="008C7DBB"/>
    <w:rsid w:val="008D0CE1"/>
    <w:rsid w:val="008D4FB7"/>
    <w:rsid w:val="008D5937"/>
    <w:rsid w:val="008E0DEF"/>
    <w:rsid w:val="008E1DB4"/>
    <w:rsid w:val="008E1FC6"/>
    <w:rsid w:val="008E2523"/>
    <w:rsid w:val="008F15A7"/>
    <w:rsid w:val="008F524A"/>
    <w:rsid w:val="00901684"/>
    <w:rsid w:val="00906BF3"/>
    <w:rsid w:val="00911C59"/>
    <w:rsid w:val="00912227"/>
    <w:rsid w:val="00914763"/>
    <w:rsid w:val="00916CCA"/>
    <w:rsid w:val="00917D3A"/>
    <w:rsid w:val="00917DDD"/>
    <w:rsid w:val="0092039F"/>
    <w:rsid w:val="0092136D"/>
    <w:rsid w:val="009214DA"/>
    <w:rsid w:val="00921886"/>
    <w:rsid w:val="00927854"/>
    <w:rsid w:val="00930B4B"/>
    <w:rsid w:val="009327FA"/>
    <w:rsid w:val="00933A8A"/>
    <w:rsid w:val="00933D8C"/>
    <w:rsid w:val="009366E9"/>
    <w:rsid w:val="00937CAE"/>
    <w:rsid w:val="00943A72"/>
    <w:rsid w:val="00943AF2"/>
    <w:rsid w:val="009471E2"/>
    <w:rsid w:val="00947A7D"/>
    <w:rsid w:val="00950326"/>
    <w:rsid w:val="00950FCD"/>
    <w:rsid w:val="009518CE"/>
    <w:rsid w:val="00951DBD"/>
    <w:rsid w:val="00954462"/>
    <w:rsid w:val="0095716C"/>
    <w:rsid w:val="009608D5"/>
    <w:rsid w:val="009609F2"/>
    <w:rsid w:val="00961B62"/>
    <w:rsid w:val="00961F20"/>
    <w:rsid w:val="00963ACA"/>
    <w:rsid w:val="009678FD"/>
    <w:rsid w:val="009707A2"/>
    <w:rsid w:val="00970D48"/>
    <w:rsid w:val="0097149A"/>
    <w:rsid w:val="00973F17"/>
    <w:rsid w:val="0097412E"/>
    <w:rsid w:val="00974839"/>
    <w:rsid w:val="0098066E"/>
    <w:rsid w:val="00983230"/>
    <w:rsid w:val="009841FA"/>
    <w:rsid w:val="00987ED2"/>
    <w:rsid w:val="0099280A"/>
    <w:rsid w:val="00992873"/>
    <w:rsid w:val="00992964"/>
    <w:rsid w:val="009937BF"/>
    <w:rsid w:val="009953D4"/>
    <w:rsid w:val="0099780C"/>
    <w:rsid w:val="009A1EED"/>
    <w:rsid w:val="009A2694"/>
    <w:rsid w:val="009A2A01"/>
    <w:rsid w:val="009A454F"/>
    <w:rsid w:val="009B1F51"/>
    <w:rsid w:val="009B3032"/>
    <w:rsid w:val="009B33D1"/>
    <w:rsid w:val="009B6004"/>
    <w:rsid w:val="009B6EDB"/>
    <w:rsid w:val="009B7C88"/>
    <w:rsid w:val="009C0ED5"/>
    <w:rsid w:val="009C3039"/>
    <w:rsid w:val="009C31B8"/>
    <w:rsid w:val="009C34B8"/>
    <w:rsid w:val="009C5D5C"/>
    <w:rsid w:val="009D1860"/>
    <w:rsid w:val="009D292F"/>
    <w:rsid w:val="009D3689"/>
    <w:rsid w:val="009D420C"/>
    <w:rsid w:val="009D64FA"/>
    <w:rsid w:val="009D6E90"/>
    <w:rsid w:val="009E101B"/>
    <w:rsid w:val="009E3419"/>
    <w:rsid w:val="009E39B0"/>
    <w:rsid w:val="009E65AE"/>
    <w:rsid w:val="009F3D8A"/>
    <w:rsid w:val="009F4885"/>
    <w:rsid w:val="009F6E0A"/>
    <w:rsid w:val="009F78C6"/>
    <w:rsid w:val="009F7A36"/>
    <w:rsid w:val="00A016E2"/>
    <w:rsid w:val="00A0179F"/>
    <w:rsid w:val="00A0278A"/>
    <w:rsid w:val="00A03092"/>
    <w:rsid w:val="00A030AD"/>
    <w:rsid w:val="00A036F0"/>
    <w:rsid w:val="00A05D9E"/>
    <w:rsid w:val="00A06380"/>
    <w:rsid w:val="00A067E5"/>
    <w:rsid w:val="00A105F4"/>
    <w:rsid w:val="00A10B34"/>
    <w:rsid w:val="00A10BED"/>
    <w:rsid w:val="00A12FAE"/>
    <w:rsid w:val="00A156D3"/>
    <w:rsid w:val="00A16CB0"/>
    <w:rsid w:val="00A1716F"/>
    <w:rsid w:val="00A17257"/>
    <w:rsid w:val="00A17605"/>
    <w:rsid w:val="00A224FD"/>
    <w:rsid w:val="00A24025"/>
    <w:rsid w:val="00A24683"/>
    <w:rsid w:val="00A24D44"/>
    <w:rsid w:val="00A3033E"/>
    <w:rsid w:val="00A303B2"/>
    <w:rsid w:val="00A30ABD"/>
    <w:rsid w:val="00A33825"/>
    <w:rsid w:val="00A33F84"/>
    <w:rsid w:val="00A359C9"/>
    <w:rsid w:val="00A415CD"/>
    <w:rsid w:val="00A42154"/>
    <w:rsid w:val="00A4310C"/>
    <w:rsid w:val="00A43D9D"/>
    <w:rsid w:val="00A44CEE"/>
    <w:rsid w:val="00A50359"/>
    <w:rsid w:val="00A507CE"/>
    <w:rsid w:val="00A51D09"/>
    <w:rsid w:val="00A547D1"/>
    <w:rsid w:val="00A55A8A"/>
    <w:rsid w:val="00A56E8D"/>
    <w:rsid w:val="00A6023A"/>
    <w:rsid w:val="00A602FA"/>
    <w:rsid w:val="00A604C5"/>
    <w:rsid w:val="00A60813"/>
    <w:rsid w:val="00A645DF"/>
    <w:rsid w:val="00A7013C"/>
    <w:rsid w:val="00A71C3D"/>
    <w:rsid w:val="00A72B09"/>
    <w:rsid w:val="00A73B32"/>
    <w:rsid w:val="00A744E8"/>
    <w:rsid w:val="00A74F4B"/>
    <w:rsid w:val="00A77EDD"/>
    <w:rsid w:val="00A872F2"/>
    <w:rsid w:val="00A87DB9"/>
    <w:rsid w:val="00A937F9"/>
    <w:rsid w:val="00A96E87"/>
    <w:rsid w:val="00A974BF"/>
    <w:rsid w:val="00AA09B2"/>
    <w:rsid w:val="00AA0B88"/>
    <w:rsid w:val="00AA2BE8"/>
    <w:rsid w:val="00AA4BF0"/>
    <w:rsid w:val="00AA746A"/>
    <w:rsid w:val="00AA7793"/>
    <w:rsid w:val="00AB4AD8"/>
    <w:rsid w:val="00AC10C2"/>
    <w:rsid w:val="00AC247A"/>
    <w:rsid w:val="00AC45F3"/>
    <w:rsid w:val="00AC5FB8"/>
    <w:rsid w:val="00AC6390"/>
    <w:rsid w:val="00AC7B3C"/>
    <w:rsid w:val="00AD0344"/>
    <w:rsid w:val="00AD456A"/>
    <w:rsid w:val="00AD5453"/>
    <w:rsid w:val="00AE13EC"/>
    <w:rsid w:val="00AF1C3D"/>
    <w:rsid w:val="00AF5AA1"/>
    <w:rsid w:val="00AF5D2F"/>
    <w:rsid w:val="00AF7149"/>
    <w:rsid w:val="00B01DCB"/>
    <w:rsid w:val="00B01F55"/>
    <w:rsid w:val="00B039E0"/>
    <w:rsid w:val="00B11B2E"/>
    <w:rsid w:val="00B13085"/>
    <w:rsid w:val="00B17B8E"/>
    <w:rsid w:val="00B20F83"/>
    <w:rsid w:val="00B309CD"/>
    <w:rsid w:val="00B3149B"/>
    <w:rsid w:val="00B32A62"/>
    <w:rsid w:val="00B34911"/>
    <w:rsid w:val="00B35677"/>
    <w:rsid w:val="00B35B22"/>
    <w:rsid w:val="00B41A27"/>
    <w:rsid w:val="00B42BE2"/>
    <w:rsid w:val="00B438DE"/>
    <w:rsid w:val="00B44897"/>
    <w:rsid w:val="00B478C1"/>
    <w:rsid w:val="00B50FB4"/>
    <w:rsid w:val="00B52569"/>
    <w:rsid w:val="00B54BF7"/>
    <w:rsid w:val="00B54D9E"/>
    <w:rsid w:val="00B56E36"/>
    <w:rsid w:val="00B57755"/>
    <w:rsid w:val="00B62B79"/>
    <w:rsid w:val="00B663DF"/>
    <w:rsid w:val="00B716D6"/>
    <w:rsid w:val="00B74252"/>
    <w:rsid w:val="00B826D5"/>
    <w:rsid w:val="00B8371D"/>
    <w:rsid w:val="00B85934"/>
    <w:rsid w:val="00B85D35"/>
    <w:rsid w:val="00B866B1"/>
    <w:rsid w:val="00B870D2"/>
    <w:rsid w:val="00B87FE7"/>
    <w:rsid w:val="00B9109D"/>
    <w:rsid w:val="00B91E5F"/>
    <w:rsid w:val="00B91F3F"/>
    <w:rsid w:val="00B96DDC"/>
    <w:rsid w:val="00B978A6"/>
    <w:rsid w:val="00BA0018"/>
    <w:rsid w:val="00BA6A62"/>
    <w:rsid w:val="00BA76EB"/>
    <w:rsid w:val="00BA79CE"/>
    <w:rsid w:val="00BB07B1"/>
    <w:rsid w:val="00BB0FED"/>
    <w:rsid w:val="00BB149F"/>
    <w:rsid w:val="00BB356F"/>
    <w:rsid w:val="00BB41D0"/>
    <w:rsid w:val="00BC20D0"/>
    <w:rsid w:val="00BC2971"/>
    <w:rsid w:val="00BC477D"/>
    <w:rsid w:val="00BC6626"/>
    <w:rsid w:val="00BC6D23"/>
    <w:rsid w:val="00BD01F9"/>
    <w:rsid w:val="00BD4235"/>
    <w:rsid w:val="00BD4CA2"/>
    <w:rsid w:val="00BD7AE6"/>
    <w:rsid w:val="00BE155C"/>
    <w:rsid w:val="00BE46F3"/>
    <w:rsid w:val="00BE4D96"/>
    <w:rsid w:val="00BE50A2"/>
    <w:rsid w:val="00BE729D"/>
    <w:rsid w:val="00BF0B19"/>
    <w:rsid w:val="00BF1D4E"/>
    <w:rsid w:val="00BF3F58"/>
    <w:rsid w:val="00BF69F2"/>
    <w:rsid w:val="00BF70B6"/>
    <w:rsid w:val="00C02286"/>
    <w:rsid w:val="00C02840"/>
    <w:rsid w:val="00C0355D"/>
    <w:rsid w:val="00C03AAA"/>
    <w:rsid w:val="00C041C0"/>
    <w:rsid w:val="00C062BF"/>
    <w:rsid w:val="00C11E14"/>
    <w:rsid w:val="00C124DC"/>
    <w:rsid w:val="00C234B2"/>
    <w:rsid w:val="00C27ED5"/>
    <w:rsid w:val="00C31CB8"/>
    <w:rsid w:val="00C31D98"/>
    <w:rsid w:val="00C33E33"/>
    <w:rsid w:val="00C34D93"/>
    <w:rsid w:val="00C3718A"/>
    <w:rsid w:val="00C41D8C"/>
    <w:rsid w:val="00C42018"/>
    <w:rsid w:val="00C422C4"/>
    <w:rsid w:val="00C44957"/>
    <w:rsid w:val="00C44BA8"/>
    <w:rsid w:val="00C45254"/>
    <w:rsid w:val="00C46D74"/>
    <w:rsid w:val="00C52B53"/>
    <w:rsid w:val="00C540FF"/>
    <w:rsid w:val="00C55B5F"/>
    <w:rsid w:val="00C57295"/>
    <w:rsid w:val="00C61730"/>
    <w:rsid w:val="00C62CF5"/>
    <w:rsid w:val="00C64501"/>
    <w:rsid w:val="00C6549B"/>
    <w:rsid w:val="00C66B03"/>
    <w:rsid w:val="00C66B14"/>
    <w:rsid w:val="00C675A6"/>
    <w:rsid w:val="00C701D4"/>
    <w:rsid w:val="00C71636"/>
    <w:rsid w:val="00C71C03"/>
    <w:rsid w:val="00C71D78"/>
    <w:rsid w:val="00C727F1"/>
    <w:rsid w:val="00C72908"/>
    <w:rsid w:val="00C815A2"/>
    <w:rsid w:val="00C81790"/>
    <w:rsid w:val="00C829C9"/>
    <w:rsid w:val="00C83D7B"/>
    <w:rsid w:val="00C849B5"/>
    <w:rsid w:val="00C85631"/>
    <w:rsid w:val="00C8650C"/>
    <w:rsid w:val="00C86EC6"/>
    <w:rsid w:val="00C9228D"/>
    <w:rsid w:val="00C9668F"/>
    <w:rsid w:val="00C974D6"/>
    <w:rsid w:val="00CA03A0"/>
    <w:rsid w:val="00CA2911"/>
    <w:rsid w:val="00CA596F"/>
    <w:rsid w:val="00CB04F6"/>
    <w:rsid w:val="00CB2CFB"/>
    <w:rsid w:val="00CB33EC"/>
    <w:rsid w:val="00CB6BD0"/>
    <w:rsid w:val="00CB72FD"/>
    <w:rsid w:val="00CC08AA"/>
    <w:rsid w:val="00CC250B"/>
    <w:rsid w:val="00CC39BD"/>
    <w:rsid w:val="00CD2500"/>
    <w:rsid w:val="00CD29A9"/>
    <w:rsid w:val="00CD387C"/>
    <w:rsid w:val="00CD56C9"/>
    <w:rsid w:val="00CD74FF"/>
    <w:rsid w:val="00CD7CF7"/>
    <w:rsid w:val="00CD7DA3"/>
    <w:rsid w:val="00CE1C78"/>
    <w:rsid w:val="00CE1EC4"/>
    <w:rsid w:val="00CE565C"/>
    <w:rsid w:val="00CE6579"/>
    <w:rsid w:val="00CE6AB5"/>
    <w:rsid w:val="00CE74AC"/>
    <w:rsid w:val="00CE76EA"/>
    <w:rsid w:val="00CF0A06"/>
    <w:rsid w:val="00CF0AE1"/>
    <w:rsid w:val="00CF642E"/>
    <w:rsid w:val="00D0026D"/>
    <w:rsid w:val="00D0559F"/>
    <w:rsid w:val="00D06D19"/>
    <w:rsid w:val="00D1684D"/>
    <w:rsid w:val="00D16B67"/>
    <w:rsid w:val="00D17A52"/>
    <w:rsid w:val="00D17C84"/>
    <w:rsid w:val="00D2082B"/>
    <w:rsid w:val="00D21C34"/>
    <w:rsid w:val="00D22023"/>
    <w:rsid w:val="00D22A73"/>
    <w:rsid w:val="00D336E1"/>
    <w:rsid w:val="00D349BB"/>
    <w:rsid w:val="00D365C7"/>
    <w:rsid w:val="00D405A1"/>
    <w:rsid w:val="00D406D9"/>
    <w:rsid w:val="00D41756"/>
    <w:rsid w:val="00D43C14"/>
    <w:rsid w:val="00D44327"/>
    <w:rsid w:val="00D512F1"/>
    <w:rsid w:val="00D51DA4"/>
    <w:rsid w:val="00D51FEB"/>
    <w:rsid w:val="00D528EA"/>
    <w:rsid w:val="00D537EF"/>
    <w:rsid w:val="00D54818"/>
    <w:rsid w:val="00D54D20"/>
    <w:rsid w:val="00D5505A"/>
    <w:rsid w:val="00D55C5D"/>
    <w:rsid w:val="00D568B9"/>
    <w:rsid w:val="00D5757A"/>
    <w:rsid w:val="00D57BBC"/>
    <w:rsid w:val="00D61B00"/>
    <w:rsid w:val="00D63149"/>
    <w:rsid w:val="00D63B98"/>
    <w:rsid w:val="00D63E12"/>
    <w:rsid w:val="00D65075"/>
    <w:rsid w:val="00D7536C"/>
    <w:rsid w:val="00D82A3C"/>
    <w:rsid w:val="00D8312D"/>
    <w:rsid w:val="00D8517D"/>
    <w:rsid w:val="00D85D81"/>
    <w:rsid w:val="00D9673A"/>
    <w:rsid w:val="00DA3565"/>
    <w:rsid w:val="00DA3E70"/>
    <w:rsid w:val="00DB1EA2"/>
    <w:rsid w:val="00DB733F"/>
    <w:rsid w:val="00DC0100"/>
    <w:rsid w:val="00DC05A3"/>
    <w:rsid w:val="00DC23C7"/>
    <w:rsid w:val="00DC2FF7"/>
    <w:rsid w:val="00DC3C1B"/>
    <w:rsid w:val="00DD3196"/>
    <w:rsid w:val="00DD6EFB"/>
    <w:rsid w:val="00DE24AF"/>
    <w:rsid w:val="00DE2868"/>
    <w:rsid w:val="00DE56C1"/>
    <w:rsid w:val="00DE5787"/>
    <w:rsid w:val="00DE7154"/>
    <w:rsid w:val="00DF1380"/>
    <w:rsid w:val="00DF1A9D"/>
    <w:rsid w:val="00DF275E"/>
    <w:rsid w:val="00DF2EDF"/>
    <w:rsid w:val="00DF3409"/>
    <w:rsid w:val="00DF7D2C"/>
    <w:rsid w:val="00E014A1"/>
    <w:rsid w:val="00E032DF"/>
    <w:rsid w:val="00E05667"/>
    <w:rsid w:val="00E06F97"/>
    <w:rsid w:val="00E101CC"/>
    <w:rsid w:val="00E116E9"/>
    <w:rsid w:val="00E1204E"/>
    <w:rsid w:val="00E14BE3"/>
    <w:rsid w:val="00E2017A"/>
    <w:rsid w:val="00E21398"/>
    <w:rsid w:val="00E22E5C"/>
    <w:rsid w:val="00E23FD2"/>
    <w:rsid w:val="00E25EE9"/>
    <w:rsid w:val="00E26D7E"/>
    <w:rsid w:val="00E320F5"/>
    <w:rsid w:val="00E321AD"/>
    <w:rsid w:val="00E3473E"/>
    <w:rsid w:val="00E3676A"/>
    <w:rsid w:val="00E40241"/>
    <w:rsid w:val="00E41CBA"/>
    <w:rsid w:val="00E458E9"/>
    <w:rsid w:val="00E47F41"/>
    <w:rsid w:val="00E54BAE"/>
    <w:rsid w:val="00E557E0"/>
    <w:rsid w:val="00E57834"/>
    <w:rsid w:val="00E57A93"/>
    <w:rsid w:val="00E60CF5"/>
    <w:rsid w:val="00E6430E"/>
    <w:rsid w:val="00E659F0"/>
    <w:rsid w:val="00E701F4"/>
    <w:rsid w:val="00E71575"/>
    <w:rsid w:val="00E71943"/>
    <w:rsid w:val="00E71956"/>
    <w:rsid w:val="00E72586"/>
    <w:rsid w:val="00E7292F"/>
    <w:rsid w:val="00E7303C"/>
    <w:rsid w:val="00E776BA"/>
    <w:rsid w:val="00E77FFC"/>
    <w:rsid w:val="00E8380B"/>
    <w:rsid w:val="00E85BA3"/>
    <w:rsid w:val="00E85C81"/>
    <w:rsid w:val="00E9344C"/>
    <w:rsid w:val="00E95161"/>
    <w:rsid w:val="00EA3F74"/>
    <w:rsid w:val="00EA4031"/>
    <w:rsid w:val="00EA43AB"/>
    <w:rsid w:val="00EA4444"/>
    <w:rsid w:val="00EB34F6"/>
    <w:rsid w:val="00EB5F08"/>
    <w:rsid w:val="00ED1394"/>
    <w:rsid w:val="00ED36C6"/>
    <w:rsid w:val="00ED3B41"/>
    <w:rsid w:val="00ED4136"/>
    <w:rsid w:val="00ED5117"/>
    <w:rsid w:val="00ED511A"/>
    <w:rsid w:val="00ED58FC"/>
    <w:rsid w:val="00ED6050"/>
    <w:rsid w:val="00ED6A96"/>
    <w:rsid w:val="00EE3338"/>
    <w:rsid w:val="00EF07EB"/>
    <w:rsid w:val="00EF101A"/>
    <w:rsid w:val="00EF2E32"/>
    <w:rsid w:val="00EF509E"/>
    <w:rsid w:val="00EF5CA8"/>
    <w:rsid w:val="00F05701"/>
    <w:rsid w:val="00F05B15"/>
    <w:rsid w:val="00F073B9"/>
    <w:rsid w:val="00F07B05"/>
    <w:rsid w:val="00F1050A"/>
    <w:rsid w:val="00F15B19"/>
    <w:rsid w:val="00F16B03"/>
    <w:rsid w:val="00F20A18"/>
    <w:rsid w:val="00F24BA7"/>
    <w:rsid w:val="00F24D17"/>
    <w:rsid w:val="00F24D46"/>
    <w:rsid w:val="00F33A65"/>
    <w:rsid w:val="00F341CA"/>
    <w:rsid w:val="00F36088"/>
    <w:rsid w:val="00F37F5A"/>
    <w:rsid w:val="00F40233"/>
    <w:rsid w:val="00F405A2"/>
    <w:rsid w:val="00F41A3B"/>
    <w:rsid w:val="00F43187"/>
    <w:rsid w:val="00F45433"/>
    <w:rsid w:val="00F4578F"/>
    <w:rsid w:val="00F45EFF"/>
    <w:rsid w:val="00F4757D"/>
    <w:rsid w:val="00F5023D"/>
    <w:rsid w:val="00F50390"/>
    <w:rsid w:val="00F50603"/>
    <w:rsid w:val="00F5381E"/>
    <w:rsid w:val="00F61DB6"/>
    <w:rsid w:val="00F620E5"/>
    <w:rsid w:val="00F6453D"/>
    <w:rsid w:val="00F65988"/>
    <w:rsid w:val="00F65D7A"/>
    <w:rsid w:val="00F65F36"/>
    <w:rsid w:val="00F73A14"/>
    <w:rsid w:val="00F75D26"/>
    <w:rsid w:val="00F80C2D"/>
    <w:rsid w:val="00F82DA1"/>
    <w:rsid w:val="00F836E7"/>
    <w:rsid w:val="00F85BEE"/>
    <w:rsid w:val="00F87D07"/>
    <w:rsid w:val="00F904D9"/>
    <w:rsid w:val="00F94400"/>
    <w:rsid w:val="00F96233"/>
    <w:rsid w:val="00F96FE8"/>
    <w:rsid w:val="00FA171E"/>
    <w:rsid w:val="00FA3158"/>
    <w:rsid w:val="00FA78C8"/>
    <w:rsid w:val="00FB0B8C"/>
    <w:rsid w:val="00FB1F6C"/>
    <w:rsid w:val="00FB40EE"/>
    <w:rsid w:val="00FB4944"/>
    <w:rsid w:val="00FC07E5"/>
    <w:rsid w:val="00FC285B"/>
    <w:rsid w:val="00FC30FF"/>
    <w:rsid w:val="00FC4034"/>
    <w:rsid w:val="00FC66D8"/>
    <w:rsid w:val="00FC7802"/>
    <w:rsid w:val="00FD0745"/>
    <w:rsid w:val="00FD170D"/>
    <w:rsid w:val="00FD1720"/>
    <w:rsid w:val="00FD1B50"/>
    <w:rsid w:val="00FD390A"/>
    <w:rsid w:val="00FD3F11"/>
    <w:rsid w:val="00FD4D9E"/>
    <w:rsid w:val="00FD7C62"/>
    <w:rsid w:val="00FE1F3C"/>
    <w:rsid w:val="00FE2752"/>
    <w:rsid w:val="00FE3373"/>
    <w:rsid w:val="00FE6AD0"/>
    <w:rsid w:val="00FE70CD"/>
    <w:rsid w:val="00FF32BA"/>
    <w:rsid w:val="00FF5628"/>
    <w:rsid w:val="00FF7D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79D49"/>
  <w15:docId w15:val="{86BC6A11-EB85-42BD-BAF7-911FA1D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1980"/>
    <w:pPr>
      <w:ind w:firstLine="567"/>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1980"/>
    <w:pPr>
      <w:ind w:left="720"/>
      <w:contextualSpacing/>
    </w:pPr>
  </w:style>
  <w:style w:type="paragraph" w:styleId="Pidipagina">
    <w:name w:val="footer"/>
    <w:basedOn w:val="Normale"/>
    <w:link w:val="PidipaginaCarattere"/>
    <w:uiPriority w:val="99"/>
    <w:rsid w:val="003C198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3C1980"/>
    <w:rPr>
      <w:rFonts w:ascii="Times New Roman" w:hAnsi="Times New Roman" w:cs="Times New Roman"/>
    </w:rPr>
  </w:style>
  <w:style w:type="paragraph" w:styleId="Rientrocorpodeltesto">
    <w:name w:val="Body Text Indent"/>
    <w:basedOn w:val="Normale"/>
    <w:link w:val="RientrocorpodeltestoCarattere"/>
    <w:uiPriority w:val="99"/>
    <w:rsid w:val="00E23FD2"/>
    <w:pPr>
      <w:ind w:left="4245" w:hanging="4245"/>
    </w:pPr>
    <w:rPr>
      <w:sz w:val="20"/>
      <w:szCs w:val="20"/>
    </w:rPr>
  </w:style>
  <w:style w:type="character" w:customStyle="1" w:styleId="RientrocorpodeltestoCarattere">
    <w:name w:val="Rientro corpo del testo Carattere"/>
    <w:basedOn w:val="Carpredefinitoparagrafo"/>
    <w:link w:val="Rientrocorpodeltesto"/>
    <w:uiPriority w:val="99"/>
    <w:locked/>
    <w:rsid w:val="00E23FD2"/>
    <w:rPr>
      <w:rFonts w:ascii="Times New Roman" w:hAnsi="Times New Roman" w:cs="Times New Roman"/>
      <w:sz w:val="20"/>
    </w:rPr>
  </w:style>
  <w:style w:type="paragraph" w:customStyle="1" w:styleId="Style1">
    <w:name w:val="Style 1"/>
    <w:uiPriority w:val="99"/>
    <w:rsid w:val="00D65075"/>
    <w:pPr>
      <w:widowControl w:val="0"/>
      <w:autoSpaceDE w:val="0"/>
      <w:autoSpaceDN w:val="0"/>
      <w:adjustRightInd w:val="0"/>
    </w:pPr>
    <w:rPr>
      <w:rFonts w:ascii="Times New Roman" w:eastAsia="MS ??" w:hAnsi="Times New Roman"/>
      <w:sz w:val="20"/>
      <w:szCs w:val="20"/>
    </w:rPr>
  </w:style>
  <w:style w:type="paragraph" w:customStyle="1" w:styleId="style1cxspmedio">
    <w:name w:val="style1cxspmedio"/>
    <w:basedOn w:val="Normale"/>
    <w:uiPriority w:val="99"/>
    <w:rsid w:val="00FD7C62"/>
    <w:pPr>
      <w:spacing w:before="100" w:beforeAutospacing="1" w:after="100" w:afterAutospacing="1"/>
      <w:ind w:firstLine="0"/>
    </w:pPr>
  </w:style>
  <w:style w:type="character" w:styleId="Enfasicorsivo">
    <w:name w:val="Emphasis"/>
    <w:basedOn w:val="Carpredefinitoparagrafo"/>
    <w:uiPriority w:val="99"/>
    <w:qFormat/>
    <w:rsid w:val="00DB733F"/>
    <w:rPr>
      <w:rFonts w:cs="Times New Roman"/>
      <w:b/>
    </w:rPr>
  </w:style>
  <w:style w:type="character" w:customStyle="1" w:styleId="st1">
    <w:name w:val="st1"/>
    <w:uiPriority w:val="99"/>
    <w:rsid w:val="00DB733F"/>
  </w:style>
  <w:style w:type="paragraph" w:styleId="PreformattatoHTML">
    <w:name w:val="HTML Preformatted"/>
    <w:basedOn w:val="Normale"/>
    <w:link w:val="PreformattatoHTMLCarattere"/>
    <w:uiPriority w:val="99"/>
    <w:rsid w:val="00BB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locked/>
    <w:rsid w:val="00BB07B1"/>
    <w:rPr>
      <w:rFonts w:ascii="Courier New" w:hAnsi="Courier New" w:cs="Times New Roman"/>
      <w:sz w:val="20"/>
    </w:rPr>
  </w:style>
  <w:style w:type="paragraph" w:customStyle="1" w:styleId="msonormalcxspmediocxspmedio">
    <w:name w:val="msonormalcxspmediocxspmedio"/>
    <w:basedOn w:val="Normale"/>
    <w:uiPriority w:val="99"/>
    <w:rsid w:val="005B6538"/>
    <w:pPr>
      <w:spacing w:before="100" w:beforeAutospacing="1" w:after="100" w:afterAutospacing="1"/>
      <w:ind w:firstLine="0"/>
    </w:pPr>
  </w:style>
  <w:style w:type="paragraph" w:styleId="Testonotaapidipagina">
    <w:name w:val="footnote text"/>
    <w:basedOn w:val="Normale"/>
    <w:link w:val="TestonotaapidipaginaCarattere"/>
    <w:uiPriority w:val="99"/>
    <w:semiHidden/>
    <w:rsid w:val="0088186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81862"/>
    <w:rPr>
      <w:rFonts w:ascii="Times New Roman" w:hAnsi="Times New Roman" w:cs="Times New Roman"/>
      <w:sz w:val="20"/>
    </w:rPr>
  </w:style>
  <w:style w:type="character" w:styleId="Rimandonotaapidipagina">
    <w:name w:val="footnote reference"/>
    <w:basedOn w:val="Carpredefinitoparagrafo"/>
    <w:uiPriority w:val="99"/>
    <w:semiHidden/>
    <w:rsid w:val="00881862"/>
    <w:rPr>
      <w:rFonts w:cs="Times New Roman"/>
      <w:vertAlign w:val="superscript"/>
    </w:rPr>
  </w:style>
  <w:style w:type="paragraph" w:styleId="Testofumetto">
    <w:name w:val="Balloon Text"/>
    <w:basedOn w:val="Normale"/>
    <w:link w:val="TestofumettoCarattere"/>
    <w:uiPriority w:val="99"/>
    <w:semiHidden/>
    <w:rsid w:val="00ED511A"/>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ED511A"/>
    <w:rPr>
      <w:rFonts w:ascii="Tahoma" w:hAnsi="Tahoma" w:cs="Times New Roman"/>
      <w:sz w:val="16"/>
    </w:rPr>
  </w:style>
  <w:style w:type="character" w:styleId="Enfasigrassetto">
    <w:name w:val="Strong"/>
    <w:basedOn w:val="Carpredefinitoparagrafo"/>
    <w:uiPriority w:val="99"/>
    <w:qFormat/>
    <w:rsid w:val="00540B1C"/>
    <w:rPr>
      <w:rFonts w:cs="Times New Roman"/>
      <w:b/>
    </w:rPr>
  </w:style>
  <w:style w:type="paragraph" w:styleId="Corpotesto">
    <w:name w:val="Body Text"/>
    <w:basedOn w:val="Normale"/>
    <w:link w:val="CorpotestoCarattere"/>
    <w:uiPriority w:val="99"/>
    <w:semiHidden/>
    <w:rsid w:val="00B62B79"/>
    <w:pPr>
      <w:spacing w:after="120"/>
    </w:pPr>
    <w:rPr>
      <w:sz w:val="20"/>
      <w:szCs w:val="20"/>
    </w:rPr>
  </w:style>
  <w:style w:type="character" w:customStyle="1" w:styleId="CorpotestoCarattere">
    <w:name w:val="Corpo testo Carattere"/>
    <w:basedOn w:val="Carpredefinitoparagrafo"/>
    <w:link w:val="Corpotesto"/>
    <w:uiPriority w:val="99"/>
    <w:semiHidden/>
    <w:locked/>
    <w:rsid w:val="00B62B79"/>
    <w:rPr>
      <w:rFonts w:ascii="Times New Roman" w:hAnsi="Times New Roman" w:cs="Times New Roman"/>
    </w:rPr>
  </w:style>
  <w:style w:type="paragraph" w:customStyle="1" w:styleId="Paragrafoelenco1">
    <w:name w:val="Paragrafo elenco1"/>
    <w:basedOn w:val="Normale"/>
    <w:uiPriority w:val="99"/>
    <w:rsid w:val="00B62B79"/>
    <w:pPr>
      <w:ind w:left="720"/>
      <w:contextualSpacing/>
    </w:pPr>
  </w:style>
  <w:style w:type="paragraph" w:styleId="NormaleWeb">
    <w:name w:val="Normal (Web)"/>
    <w:basedOn w:val="Normale"/>
    <w:rsid w:val="00B62B79"/>
    <w:pPr>
      <w:spacing w:before="100" w:beforeAutospacing="1" w:after="100" w:afterAutospacing="1"/>
      <w:ind w:firstLine="0"/>
    </w:pPr>
  </w:style>
  <w:style w:type="paragraph" w:styleId="Intestazione">
    <w:name w:val="header"/>
    <w:basedOn w:val="Normale"/>
    <w:link w:val="IntestazioneCarattere"/>
    <w:uiPriority w:val="99"/>
    <w:rsid w:val="00CC39BD"/>
    <w:pPr>
      <w:tabs>
        <w:tab w:val="center" w:pos="4819"/>
        <w:tab w:val="right" w:pos="9638"/>
      </w:tabs>
    </w:pPr>
  </w:style>
  <w:style w:type="character" w:customStyle="1" w:styleId="IntestazioneCarattere">
    <w:name w:val="Intestazione Carattere"/>
    <w:basedOn w:val="Carpredefinitoparagrafo"/>
    <w:link w:val="Intestazione"/>
    <w:uiPriority w:val="99"/>
    <w:locked/>
    <w:rsid w:val="00CC39BD"/>
    <w:rPr>
      <w:rFonts w:ascii="Times New Roman" w:hAnsi="Times New Roman" w:cs="Times New Roman"/>
      <w:sz w:val="24"/>
    </w:rPr>
  </w:style>
  <w:style w:type="character" w:customStyle="1" w:styleId="CharacterStyle1">
    <w:name w:val="Character Style 1"/>
    <w:uiPriority w:val="99"/>
    <w:rsid w:val="002717D2"/>
    <w:rPr>
      <w:sz w:val="24"/>
    </w:rPr>
  </w:style>
  <w:style w:type="paragraph" w:customStyle="1" w:styleId="sentcenter">
    <w:name w:val="sent_center"/>
    <w:basedOn w:val="Normale"/>
    <w:rsid w:val="00B91F3F"/>
    <w:pPr>
      <w:spacing w:before="100" w:beforeAutospacing="1" w:after="100" w:afterAutospacing="1"/>
      <w:ind w:firstLine="0"/>
      <w:jc w:val="center"/>
    </w:pPr>
    <w:rPr>
      <w:rFonts w:ascii="Arial Unicode MS" w:eastAsia="Arial Unicode MS" w:hAnsi="Arial Unicode MS" w:cs="Arial Unicode MS"/>
    </w:rPr>
  </w:style>
  <w:style w:type="paragraph" w:customStyle="1" w:styleId="CdcIntestazionecopertina">
    <w:name w:val="Cdc_ Intestazione copertina"/>
    <w:basedOn w:val="Normale"/>
    <w:link w:val="CdcIntestazionecopertinaCarattere"/>
    <w:qFormat/>
    <w:rsid w:val="00514732"/>
    <w:pPr>
      <w:spacing w:after="160" w:line="276" w:lineRule="auto"/>
      <w:ind w:firstLine="0"/>
    </w:pPr>
    <w:rPr>
      <w:rFonts w:ascii="Bodoni MT" w:eastAsia="Times New Roman" w:hAnsi="Bodoni MT"/>
      <w:caps/>
      <w:sz w:val="36"/>
      <w:szCs w:val="36"/>
      <w:lang w:eastAsia="en-US"/>
    </w:rPr>
  </w:style>
  <w:style w:type="character" w:customStyle="1" w:styleId="CdcIntestazionecopertinaCarattere">
    <w:name w:val="Cdc_ Intestazione copertina Carattere"/>
    <w:basedOn w:val="Carpredefinitoparagrafo"/>
    <w:link w:val="CdcIntestazionecopertina"/>
    <w:rsid w:val="00514732"/>
    <w:rPr>
      <w:rFonts w:ascii="Bodoni MT" w:eastAsia="Times New Roman" w:hAnsi="Bodoni MT"/>
      <w:caps/>
      <w:sz w:val="36"/>
      <w:szCs w:val="36"/>
      <w:lang w:eastAsia="en-US"/>
    </w:rPr>
  </w:style>
  <w:style w:type="paragraph" w:customStyle="1" w:styleId="CdcTitolocopertina">
    <w:name w:val="Cdc_Titolo copertina"/>
    <w:basedOn w:val="Normale"/>
    <w:link w:val="CdcTitolocopertinaCarattere"/>
    <w:qFormat/>
    <w:rsid w:val="00514732"/>
    <w:pPr>
      <w:spacing w:after="160"/>
      <w:ind w:firstLine="0"/>
      <w:jc w:val="center"/>
    </w:pPr>
    <w:rPr>
      <w:rFonts w:ascii="Arial" w:eastAsia="Times New Roman" w:hAnsi="Arial" w:cs="Arial"/>
      <w:b/>
      <w:color w:val="FFFFFF"/>
      <w:sz w:val="60"/>
      <w:szCs w:val="56"/>
      <w:lang w:eastAsia="en-US"/>
    </w:rPr>
  </w:style>
  <w:style w:type="character" w:customStyle="1" w:styleId="CdcTitolocopertinaCarattere">
    <w:name w:val="Cdc_Titolo copertina Carattere"/>
    <w:basedOn w:val="Carpredefinitoparagrafo"/>
    <w:link w:val="CdcTitolocopertina"/>
    <w:rsid w:val="00514732"/>
    <w:rPr>
      <w:rFonts w:ascii="Arial" w:eastAsia="Times New Roman" w:hAnsi="Arial" w:cs="Arial"/>
      <w:b/>
      <w:color w:val="FFFFFF"/>
      <w:sz w:val="60"/>
      <w:szCs w:val="56"/>
      <w:lang w:eastAsia="en-US"/>
    </w:rPr>
  </w:style>
  <w:style w:type="paragraph" w:customStyle="1" w:styleId="CdcUdienzacopertina">
    <w:name w:val="Cdc_Udienza copertina"/>
    <w:basedOn w:val="Normale"/>
    <w:link w:val="CdcUdienzacopertinaCarattere"/>
    <w:qFormat/>
    <w:rsid w:val="00514732"/>
    <w:pPr>
      <w:spacing w:after="160" w:line="276" w:lineRule="auto"/>
      <w:ind w:firstLine="0"/>
      <w:jc w:val="center"/>
    </w:pPr>
    <w:rPr>
      <w:rFonts w:ascii="Arial" w:eastAsia="Times New Roman" w:hAnsi="Arial" w:cs="Arial"/>
      <w:b/>
      <w:i/>
      <w:sz w:val="36"/>
      <w:szCs w:val="36"/>
      <w:lang w:eastAsia="en-US"/>
    </w:rPr>
  </w:style>
  <w:style w:type="character" w:customStyle="1" w:styleId="CdcUdienzacopertinaCarattere">
    <w:name w:val="Cdc_Udienza copertina Carattere"/>
    <w:basedOn w:val="Carpredefinitoparagrafo"/>
    <w:link w:val="CdcUdienzacopertina"/>
    <w:rsid w:val="00514732"/>
    <w:rPr>
      <w:rFonts w:ascii="Arial" w:eastAsia="Times New Roman" w:hAnsi="Arial" w:cs="Arial"/>
      <w:b/>
      <w:i/>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5528">
      <w:bodyDiv w:val="1"/>
      <w:marLeft w:val="0"/>
      <w:marRight w:val="0"/>
      <w:marTop w:val="0"/>
      <w:marBottom w:val="0"/>
      <w:divBdr>
        <w:top w:val="none" w:sz="0" w:space="0" w:color="auto"/>
        <w:left w:val="none" w:sz="0" w:space="0" w:color="auto"/>
        <w:bottom w:val="none" w:sz="0" w:space="0" w:color="auto"/>
        <w:right w:val="none" w:sz="0" w:space="0" w:color="auto"/>
      </w:divBdr>
    </w:div>
    <w:div w:id="392046253">
      <w:marLeft w:val="0"/>
      <w:marRight w:val="0"/>
      <w:marTop w:val="0"/>
      <w:marBottom w:val="0"/>
      <w:divBdr>
        <w:top w:val="none" w:sz="0" w:space="0" w:color="auto"/>
        <w:left w:val="none" w:sz="0" w:space="0" w:color="auto"/>
        <w:bottom w:val="none" w:sz="0" w:space="0" w:color="auto"/>
        <w:right w:val="none" w:sz="0" w:space="0" w:color="auto"/>
      </w:divBdr>
    </w:div>
    <w:div w:id="392046254">
      <w:marLeft w:val="0"/>
      <w:marRight w:val="0"/>
      <w:marTop w:val="0"/>
      <w:marBottom w:val="0"/>
      <w:divBdr>
        <w:top w:val="none" w:sz="0" w:space="0" w:color="auto"/>
        <w:left w:val="none" w:sz="0" w:space="0" w:color="auto"/>
        <w:bottom w:val="none" w:sz="0" w:space="0" w:color="auto"/>
        <w:right w:val="none" w:sz="0" w:space="0" w:color="auto"/>
      </w:divBdr>
    </w:div>
    <w:div w:id="392046255">
      <w:marLeft w:val="0"/>
      <w:marRight w:val="0"/>
      <w:marTop w:val="0"/>
      <w:marBottom w:val="0"/>
      <w:divBdr>
        <w:top w:val="none" w:sz="0" w:space="0" w:color="auto"/>
        <w:left w:val="none" w:sz="0" w:space="0" w:color="auto"/>
        <w:bottom w:val="none" w:sz="0" w:space="0" w:color="auto"/>
        <w:right w:val="none" w:sz="0" w:space="0" w:color="auto"/>
      </w:divBdr>
    </w:div>
    <w:div w:id="608316930">
      <w:bodyDiv w:val="1"/>
      <w:marLeft w:val="0"/>
      <w:marRight w:val="0"/>
      <w:marTop w:val="0"/>
      <w:marBottom w:val="0"/>
      <w:divBdr>
        <w:top w:val="none" w:sz="0" w:space="0" w:color="auto"/>
        <w:left w:val="none" w:sz="0" w:space="0" w:color="auto"/>
        <w:bottom w:val="none" w:sz="0" w:space="0" w:color="auto"/>
        <w:right w:val="none" w:sz="0" w:space="0" w:color="auto"/>
      </w:divBdr>
    </w:div>
    <w:div w:id="626278235">
      <w:bodyDiv w:val="1"/>
      <w:marLeft w:val="0"/>
      <w:marRight w:val="0"/>
      <w:marTop w:val="0"/>
      <w:marBottom w:val="0"/>
      <w:divBdr>
        <w:top w:val="none" w:sz="0" w:space="0" w:color="auto"/>
        <w:left w:val="none" w:sz="0" w:space="0" w:color="auto"/>
        <w:bottom w:val="none" w:sz="0" w:space="0" w:color="auto"/>
        <w:right w:val="none" w:sz="0" w:space="0" w:color="auto"/>
      </w:divBdr>
    </w:div>
    <w:div w:id="723263130">
      <w:bodyDiv w:val="1"/>
      <w:marLeft w:val="0"/>
      <w:marRight w:val="0"/>
      <w:marTop w:val="0"/>
      <w:marBottom w:val="0"/>
      <w:divBdr>
        <w:top w:val="none" w:sz="0" w:space="0" w:color="auto"/>
        <w:left w:val="none" w:sz="0" w:space="0" w:color="auto"/>
        <w:bottom w:val="none" w:sz="0" w:space="0" w:color="auto"/>
        <w:right w:val="none" w:sz="0" w:space="0" w:color="auto"/>
      </w:divBdr>
    </w:div>
    <w:div w:id="1242442947">
      <w:bodyDiv w:val="1"/>
      <w:marLeft w:val="0"/>
      <w:marRight w:val="0"/>
      <w:marTop w:val="0"/>
      <w:marBottom w:val="0"/>
      <w:divBdr>
        <w:top w:val="none" w:sz="0" w:space="0" w:color="auto"/>
        <w:left w:val="none" w:sz="0" w:space="0" w:color="auto"/>
        <w:bottom w:val="none" w:sz="0" w:space="0" w:color="auto"/>
        <w:right w:val="none" w:sz="0" w:space="0" w:color="auto"/>
      </w:divBdr>
    </w:div>
    <w:div w:id="1309046327">
      <w:bodyDiv w:val="1"/>
      <w:marLeft w:val="0"/>
      <w:marRight w:val="0"/>
      <w:marTop w:val="0"/>
      <w:marBottom w:val="0"/>
      <w:divBdr>
        <w:top w:val="none" w:sz="0" w:space="0" w:color="auto"/>
        <w:left w:val="none" w:sz="0" w:space="0" w:color="auto"/>
        <w:bottom w:val="none" w:sz="0" w:space="0" w:color="auto"/>
        <w:right w:val="none" w:sz="0" w:space="0" w:color="auto"/>
      </w:divBdr>
    </w:div>
    <w:div w:id="1329674445">
      <w:bodyDiv w:val="1"/>
      <w:marLeft w:val="0"/>
      <w:marRight w:val="0"/>
      <w:marTop w:val="0"/>
      <w:marBottom w:val="0"/>
      <w:divBdr>
        <w:top w:val="none" w:sz="0" w:space="0" w:color="auto"/>
        <w:left w:val="none" w:sz="0" w:space="0" w:color="auto"/>
        <w:bottom w:val="none" w:sz="0" w:space="0" w:color="auto"/>
        <w:right w:val="none" w:sz="0" w:space="0" w:color="auto"/>
      </w:divBdr>
    </w:div>
    <w:div w:id="1457866322">
      <w:bodyDiv w:val="1"/>
      <w:marLeft w:val="0"/>
      <w:marRight w:val="0"/>
      <w:marTop w:val="0"/>
      <w:marBottom w:val="0"/>
      <w:divBdr>
        <w:top w:val="none" w:sz="0" w:space="0" w:color="auto"/>
        <w:left w:val="none" w:sz="0" w:space="0" w:color="auto"/>
        <w:bottom w:val="none" w:sz="0" w:space="0" w:color="auto"/>
        <w:right w:val="none" w:sz="0" w:space="0" w:color="auto"/>
      </w:divBdr>
    </w:div>
    <w:div w:id="1478689509">
      <w:bodyDiv w:val="1"/>
      <w:marLeft w:val="0"/>
      <w:marRight w:val="0"/>
      <w:marTop w:val="0"/>
      <w:marBottom w:val="0"/>
      <w:divBdr>
        <w:top w:val="none" w:sz="0" w:space="0" w:color="auto"/>
        <w:left w:val="none" w:sz="0" w:space="0" w:color="auto"/>
        <w:bottom w:val="none" w:sz="0" w:space="0" w:color="auto"/>
        <w:right w:val="none" w:sz="0" w:space="0" w:color="auto"/>
      </w:divBdr>
    </w:div>
    <w:div w:id="1754545196">
      <w:bodyDiv w:val="1"/>
      <w:marLeft w:val="0"/>
      <w:marRight w:val="0"/>
      <w:marTop w:val="0"/>
      <w:marBottom w:val="0"/>
      <w:divBdr>
        <w:top w:val="none" w:sz="0" w:space="0" w:color="auto"/>
        <w:left w:val="none" w:sz="0" w:space="0" w:color="auto"/>
        <w:bottom w:val="none" w:sz="0" w:space="0" w:color="auto"/>
        <w:right w:val="none" w:sz="0" w:space="0" w:color="auto"/>
      </w:divBdr>
    </w:div>
    <w:div w:id="1805854811">
      <w:bodyDiv w:val="1"/>
      <w:marLeft w:val="0"/>
      <w:marRight w:val="0"/>
      <w:marTop w:val="0"/>
      <w:marBottom w:val="0"/>
      <w:divBdr>
        <w:top w:val="none" w:sz="0" w:space="0" w:color="auto"/>
        <w:left w:val="none" w:sz="0" w:space="0" w:color="auto"/>
        <w:bottom w:val="none" w:sz="0" w:space="0" w:color="auto"/>
        <w:right w:val="none" w:sz="0" w:space="0" w:color="auto"/>
      </w:divBdr>
    </w:div>
    <w:div w:id="2129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D9F4-684D-4409-BA47-4D6088E6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4179</Words>
  <Characters>23821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Ercolani Giuliana</cp:lastModifiedBy>
  <cp:revision>3</cp:revision>
  <cp:lastPrinted>2018-07-20T07:16:00Z</cp:lastPrinted>
  <dcterms:created xsi:type="dcterms:W3CDTF">2019-01-10T10:34:00Z</dcterms:created>
  <dcterms:modified xsi:type="dcterms:W3CDTF">2019-01-10T14:53:00Z</dcterms:modified>
</cp:coreProperties>
</file>